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BBDB">
      <w:pPr>
        <w:widowControl/>
        <w:numPr>
          <w:ilvl w:val="0"/>
          <w:numId w:val="0"/>
        </w:num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公开招标需求</w:t>
      </w:r>
    </w:p>
    <w:p w14:paraId="2EC4F0A9">
      <w:pPr>
        <w:keepNext w:val="0"/>
        <w:keepLines w:val="0"/>
        <w:pageBreakBefore w:val="0"/>
        <w:tabs>
          <w:tab w:val="left" w:pos="8280"/>
        </w:tabs>
        <w:kinsoku/>
        <w:wordWrap/>
        <w:overflowPunct/>
        <w:topLinePunct w:val="0"/>
        <w:autoSpaceDE w:val="0"/>
        <w:autoSpaceDN w:val="0"/>
        <w:bidi w:val="0"/>
        <w:adjustRightInd w:val="0"/>
        <w:snapToGrid/>
        <w:spacing w:line="34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pacing w:val="-11"/>
          <w:sz w:val="21"/>
          <w:szCs w:val="21"/>
          <w:highlight w:val="none"/>
          <w:lang w:eastAsia="zh-CN"/>
        </w:rPr>
        <w:t>一、项目</w:t>
      </w:r>
      <w:r>
        <w:rPr>
          <w:rFonts w:hint="eastAsia" w:ascii="宋体" w:hAnsi="宋体" w:eastAsia="宋体" w:cs="宋体"/>
          <w:b/>
          <w:bCs/>
          <w:color w:val="auto"/>
          <w:spacing w:val="-11"/>
          <w:sz w:val="21"/>
          <w:szCs w:val="21"/>
          <w:highlight w:val="none"/>
        </w:rPr>
        <w:t>概况：</w:t>
      </w:r>
    </w:p>
    <w:tbl>
      <w:tblPr>
        <w:tblStyle w:val="2"/>
        <w:tblW w:w="776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498"/>
        <w:gridCol w:w="3175"/>
        <w:gridCol w:w="656"/>
        <w:gridCol w:w="711"/>
      </w:tblGrid>
      <w:tr w14:paraId="2964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5" w:type="dxa"/>
            <w:noWrap/>
            <w:vAlign w:val="center"/>
          </w:tcPr>
          <w:p w14:paraId="07EE9502">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b/>
                <w:bCs/>
                <w:spacing w:val="-11"/>
                <w:kern w:val="0"/>
                <w:sz w:val="21"/>
                <w:szCs w:val="21"/>
              </w:rPr>
            </w:pPr>
            <w:r>
              <w:rPr>
                <w:rFonts w:hint="eastAsia" w:ascii="宋体" w:hAnsi="宋体" w:eastAsia="宋体" w:cs="宋体"/>
                <w:b/>
                <w:bCs/>
                <w:spacing w:val="-11"/>
                <w:kern w:val="0"/>
                <w:sz w:val="21"/>
                <w:szCs w:val="21"/>
              </w:rPr>
              <w:t>序号</w:t>
            </w:r>
          </w:p>
        </w:tc>
        <w:tc>
          <w:tcPr>
            <w:tcW w:w="2498" w:type="dxa"/>
            <w:noWrap w:val="0"/>
            <w:vAlign w:val="center"/>
          </w:tcPr>
          <w:p w14:paraId="251F18D6">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b/>
                <w:bCs/>
                <w:spacing w:val="-11"/>
                <w:kern w:val="0"/>
                <w:sz w:val="21"/>
                <w:szCs w:val="21"/>
              </w:rPr>
            </w:pPr>
            <w:r>
              <w:rPr>
                <w:rFonts w:hint="eastAsia" w:ascii="宋体" w:hAnsi="宋体" w:eastAsia="宋体" w:cs="宋体"/>
                <w:b/>
                <w:bCs/>
                <w:spacing w:val="-11"/>
                <w:kern w:val="0"/>
                <w:sz w:val="21"/>
                <w:szCs w:val="21"/>
              </w:rPr>
              <w:t>内容</w:t>
            </w:r>
          </w:p>
        </w:tc>
        <w:tc>
          <w:tcPr>
            <w:tcW w:w="3175" w:type="dxa"/>
            <w:noWrap w:val="0"/>
            <w:vAlign w:val="center"/>
          </w:tcPr>
          <w:p w14:paraId="31B17AE4">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b/>
                <w:bCs/>
                <w:spacing w:val="-11"/>
                <w:kern w:val="0"/>
                <w:sz w:val="21"/>
                <w:szCs w:val="21"/>
              </w:rPr>
            </w:pPr>
            <w:r>
              <w:rPr>
                <w:rFonts w:hint="eastAsia" w:ascii="宋体" w:hAnsi="宋体" w:eastAsia="宋体" w:cs="宋体"/>
                <w:b/>
                <w:bCs/>
                <w:spacing w:val="-11"/>
                <w:kern w:val="0"/>
                <w:sz w:val="21"/>
                <w:szCs w:val="21"/>
              </w:rPr>
              <w:t>概况</w:t>
            </w:r>
          </w:p>
        </w:tc>
        <w:tc>
          <w:tcPr>
            <w:tcW w:w="656" w:type="dxa"/>
            <w:noWrap w:val="0"/>
            <w:vAlign w:val="center"/>
          </w:tcPr>
          <w:p w14:paraId="4A39714B">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b/>
                <w:bCs/>
                <w:spacing w:val="-11"/>
                <w:kern w:val="0"/>
                <w:sz w:val="21"/>
                <w:szCs w:val="21"/>
              </w:rPr>
            </w:pPr>
            <w:r>
              <w:rPr>
                <w:rFonts w:hint="eastAsia" w:ascii="宋体" w:hAnsi="宋体" w:eastAsia="宋体" w:cs="宋体"/>
                <w:b/>
                <w:bCs/>
                <w:spacing w:val="-11"/>
                <w:kern w:val="0"/>
                <w:sz w:val="21"/>
                <w:szCs w:val="21"/>
              </w:rPr>
              <w:t>数量</w:t>
            </w:r>
          </w:p>
        </w:tc>
        <w:tc>
          <w:tcPr>
            <w:tcW w:w="711" w:type="dxa"/>
            <w:noWrap w:val="0"/>
            <w:vAlign w:val="center"/>
          </w:tcPr>
          <w:p w14:paraId="174F4228">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b/>
                <w:bCs/>
                <w:spacing w:val="-11"/>
                <w:kern w:val="0"/>
                <w:sz w:val="21"/>
                <w:szCs w:val="21"/>
              </w:rPr>
            </w:pPr>
            <w:r>
              <w:rPr>
                <w:rFonts w:hint="eastAsia" w:ascii="宋体" w:hAnsi="宋体" w:eastAsia="宋体" w:cs="宋体"/>
                <w:b/>
                <w:bCs/>
                <w:spacing w:val="-11"/>
                <w:kern w:val="0"/>
                <w:sz w:val="21"/>
                <w:szCs w:val="21"/>
              </w:rPr>
              <w:t>单位</w:t>
            </w:r>
          </w:p>
        </w:tc>
      </w:tr>
      <w:tr w14:paraId="68F7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25" w:type="dxa"/>
            <w:noWrap/>
            <w:vAlign w:val="center"/>
          </w:tcPr>
          <w:p w14:paraId="7C124245">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spacing w:val="-11"/>
                <w:kern w:val="0"/>
                <w:sz w:val="21"/>
                <w:szCs w:val="21"/>
              </w:rPr>
            </w:pPr>
            <w:r>
              <w:rPr>
                <w:rFonts w:hint="eastAsia" w:ascii="宋体" w:hAnsi="宋体" w:eastAsia="宋体" w:cs="宋体"/>
                <w:spacing w:val="-11"/>
                <w:kern w:val="0"/>
                <w:sz w:val="21"/>
                <w:szCs w:val="21"/>
              </w:rPr>
              <w:t>1</w:t>
            </w:r>
          </w:p>
        </w:tc>
        <w:tc>
          <w:tcPr>
            <w:tcW w:w="2498" w:type="dxa"/>
            <w:noWrap w:val="0"/>
            <w:vAlign w:val="center"/>
          </w:tcPr>
          <w:p w14:paraId="15679531">
            <w:pPr>
              <w:keepNext w:val="0"/>
              <w:keepLines w:val="0"/>
              <w:pageBreakBefore w:val="0"/>
              <w:kinsoku/>
              <w:wordWrap/>
              <w:overflowPunct/>
              <w:topLinePunct w:val="0"/>
              <w:bidi w:val="0"/>
              <w:snapToGrid/>
              <w:spacing w:line="340" w:lineRule="exact"/>
              <w:textAlignment w:val="auto"/>
              <w:rPr>
                <w:rFonts w:hint="eastAsia" w:ascii="宋体" w:hAnsi="宋体" w:eastAsia="宋体" w:cs="宋体"/>
                <w:spacing w:val="-11"/>
                <w:kern w:val="0"/>
                <w:sz w:val="21"/>
                <w:szCs w:val="21"/>
              </w:rPr>
            </w:pPr>
            <w:r>
              <w:rPr>
                <w:rFonts w:hint="eastAsia" w:ascii="宋体" w:hAnsi="宋体" w:eastAsia="宋体" w:cs="宋体"/>
                <w:color w:val="auto"/>
                <w:spacing w:val="-11"/>
                <w:kern w:val="0"/>
                <w:sz w:val="21"/>
                <w:szCs w:val="21"/>
                <w:lang w:val="en-US" w:eastAsia="zh-CN"/>
              </w:rPr>
              <w:t>台州市立医院</w:t>
            </w:r>
            <w:r>
              <w:rPr>
                <w:rFonts w:hint="eastAsia" w:ascii="宋体" w:hAnsi="宋体" w:cs="宋体"/>
                <w:color w:val="auto"/>
                <w:spacing w:val="-11"/>
                <w:kern w:val="0"/>
                <w:sz w:val="21"/>
                <w:szCs w:val="21"/>
                <w:lang w:val="en-US" w:eastAsia="zh-CN"/>
              </w:rPr>
              <w:t>迁建</w:t>
            </w:r>
            <w:r>
              <w:rPr>
                <w:rFonts w:hint="eastAsia" w:ascii="宋体" w:hAnsi="宋体" w:eastAsia="宋体" w:cs="宋体"/>
                <w:color w:val="auto"/>
                <w:spacing w:val="-11"/>
                <w:kern w:val="0"/>
                <w:sz w:val="21"/>
                <w:szCs w:val="21"/>
                <w:lang w:eastAsia="zh-CN"/>
              </w:rPr>
              <w:t>工程</w:t>
            </w:r>
            <w:r>
              <w:rPr>
                <w:rFonts w:hint="eastAsia" w:ascii="宋体" w:hAnsi="宋体" w:cs="宋体"/>
                <w:color w:val="auto"/>
                <w:spacing w:val="-11"/>
                <w:kern w:val="0"/>
                <w:sz w:val="21"/>
                <w:szCs w:val="21"/>
                <w:lang w:eastAsia="zh-CN"/>
              </w:rPr>
              <w:t>（</w:t>
            </w:r>
            <w:r>
              <w:rPr>
                <w:rFonts w:hint="eastAsia" w:ascii="宋体" w:hAnsi="宋体" w:cs="宋体"/>
                <w:color w:val="auto"/>
                <w:spacing w:val="-11"/>
                <w:kern w:val="0"/>
                <w:sz w:val="21"/>
                <w:szCs w:val="21"/>
                <w:lang w:val="en-US" w:eastAsia="zh-CN"/>
              </w:rPr>
              <w:t>二期）</w:t>
            </w:r>
            <w:r>
              <w:rPr>
                <w:rFonts w:hint="eastAsia" w:ascii="宋体" w:hAnsi="宋体" w:eastAsia="宋体" w:cs="宋体"/>
                <w:color w:val="auto"/>
                <w:spacing w:val="-11"/>
                <w:kern w:val="0"/>
                <w:sz w:val="21"/>
                <w:szCs w:val="21"/>
                <w:lang w:eastAsia="zh-CN"/>
              </w:rPr>
              <w:t>窗帘采购项目</w:t>
            </w:r>
          </w:p>
        </w:tc>
        <w:tc>
          <w:tcPr>
            <w:tcW w:w="3175" w:type="dxa"/>
            <w:noWrap w:val="0"/>
            <w:vAlign w:val="center"/>
          </w:tcPr>
          <w:p w14:paraId="5397E970">
            <w:pPr>
              <w:pStyle w:val="8"/>
              <w:keepNext w:val="0"/>
              <w:keepLines w:val="0"/>
              <w:pageBreakBefore w:val="0"/>
              <w:framePr w:wrap="auto" w:vAnchor="margin" w:hAnchor="text" w:yAlign="inline"/>
              <w:kinsoku/>
              <w:wordWrap/>
              <w:overflowPunct/>
              <w:topLinePunct w:val="0"/>
              <w:bidi w:val="0"/>
              <w:snapToGrid/>
              <w:spacing w:line="340" w:lineRule="exact"/>
              <w:jc w:val="left"/>
              <w:textAlignment w:val="auto"/>
              <w:rPr>
                <w:rFonts w:hint="eastAsia" w:ascii="宋体" w:hAnsi="宋体" w:eastAsia="宋体" w:cs="宋体"/>
                <w:color w:val="auto"/>
                <w:spacing w:val="-11"/>
                <w:kern w:val="0"/>
                <w:sz w:val="21"/>
                <w:szCs w:val="21"/>
              </w:rPr>
            </w:pPr>
            <w:r>
              <w:rPr>
                <w:rFonts w:hint="eastAsia" w:ascii="宋体" w:hAnsi="宋体" w:eastAsia="宋体" w:cs="宋体"/>
                <w:color w:val="auto"/>
                <w:spacing w:val="-11"/>
                <w:kern w:val="0"/>
                <w:sz w:val="21"/>
                <w:szCs w:val="21"/>
              </w:rPr>
              <w:t>包含</w:t>
            </w:r>
            <w:r>
              <w:rPr>
                <w:rFonts w:hint="eastAsia" w:ascii="宋体" w:hAnsi="宋体" w:eastAsia="宋体" w:cs="宋体"/>
                <w:color w:val="auto"/>
                <w:spacing w:val="-11"/>
                <w:kern w:val="0"/>
                <w:sz w:val="21"/>
                <w:szCs w:val="21"/>
                <w:lang w:val="en-US" w:eastAsia="zh-CN"/>
              </w:rPr>
              <w:t>产品</w:t>
            </w:r>
            <w:r>
              <w:rPr>
                <w:rFonts w:hint="eastAsia" w:ascii="宋体" w:hAnsi="宋体" w:eastAsia="宋体" w:cs="宋体"/>
                <w:color w:val="auto"/>
                <w:spacing w:val="-11"/>
                <w:kern w:val="0"/>
                <w:sz w:val="21"/>
                <w:szCs w:val="21"/>
              </w:rPr>
              <w:t>的供货、运输、安装、调试、</w:t>
            </w:r>
            <w:r>
              <w:rPr>
                <w:rFonts w:hint="eastAsia" w:ascii="宋体" w:hAnsi="宋体" w:eastAsia="宋体" w:cs="宋体"/>
                <w:color w:val="auto"/>
                <w:spacing w:val="-11"/>
                <w:kern w:val="0"/>
                <w:sz w:val="21"/>
                <w:szCs w:val="21"/>
                <w:lang w:val="en-US" w:eastAsia="zh-CN"/>
              </w:rPr>
              <w:t>验收、</w:t>
            </w:r>
            <w:r>
              <w:rPr>
                <w:rFonts w:hint="eastAsia" w:ascii="宋体" w:hAnsi="宋体" w:eastAsia="宋体" w:cs="宋体"/>
                <w:color w:val="auto"/>
                <w:spacing w:val="-11"/>
                <w:kern w:val="0"/>
                <w:sz w:val="21"/>
                <w:szCs w:val="21"/>
              </w:rPr>
              <w:t>售后服务等内容，具体详见公开招标需求。</w:t>
            </w:r>
          </w:p>
        </w:tc>
        <w:tc>
          <w:tcPr>
            <w:tcW w:w="656" w:type="dxa"/>
            <w:noWrap w:val="0"/>
            <w:vAlign w:val="center"/>
          </w:tcPr>
          <w:p w14:paraId="6739577F">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spacing w:val="-11"/>
                <w:kern w:val="0"/>
                <w:sz w:val="21"/>
                <w:szCs w:val="21"/>
              </w:rPr>
            </w:pPr>
            <w:r>
              <w:rPr>
                <w:rFonts w:hint="eastAsia" w:ascii="宋体" w:hAnsi="宋体" w:eastAsia="宋体" w:cs="宋体"/>
                <w:spacing w:val="-11"/>
                <w:kern w:val="0"/>
                <w:sz w:val="21"/>
                <w:szCs w:val="21"/>
              </w:rPr>
              <w:t>1</w:t>
            </w:r>
          </w:p>
        </w:tc>
        <w:tc>
          <w:tcPr>
            <w:tcW w:w="711" w:type="dxa"/>
            <w:noWrap w:val="0"/>
            <w:vAlign w:val="center"/>
          </w:tcPr>
          <w:p w14:paraId="642BDAD7">
            <w:pPr>
              <w:keepNext w:val="0"/>
              <w:keepLines w:val="0"/>
              <w:pageBreakBefore w:val="0"/>
              <w:widowControl/>
              <w:kinsoku/>
              <w:wordWrap/>
              <w:overflowPunct/>
              <w:topLinePunct w:val="0"/>
              <w:bidi w:val="0"/>
              <w:snapToGrid/>
              <w:spacing w:line="340" w:lineRule="exact"/>
              <w:jc w:val="center"/>
              <w:textAlignment w:val="auto"/>
              <w:rPr>
                <w:rFonts w:hint="eastAsia" w:ascii="宋体" w:hAnsi="宋体" w:eastAsia="宋体" w:cs="宋体"/>
                <w:spacing w:val="-11"/>
                <w:kern w:val="0"/>
                <w:sz w:val="21"/>
                <w:szCs w:val="21"/>
              </w:rPr>
            </w:pPr>
            <w:r>
              <w:rPr>
                <w:rFonts w:hint="eastAsia" w:ascii="宋体" w:hAnsi="宋体" w:eastAsia="宋体" w:cs="宋体"/>
                <w:spacing w:val="-11"/>
                <w:kern w:val="0"/>
                <w:sz w:val="21"/>
                <w:szCs w:val="21"/>
              </w:rPr>
              <w:t>批</w:t>
            </w:r>
          </w:p>
        </w:tc>
      </w:tr>
    </w:tbl>
    <w:p w14:paraId="5E9A3887">
      <w:pPr>
        <w:keepNext w:val="0"/>
        <w:keepLines w:val="0"/>
        <w:pageBreakBefore w:val="0"/>
        <w:tabs>
          <w:tab w:val="left" w:pos="8280"/>
        </w:tabs>
        <w:kinsoku/>
        <w:wordWrap/>
        <w:overflowPunct/>
        <w:topLinePunct w:val="0"/>
        <w:autoSpaceDE w:val="0"/>
        <w:autoSpaceDN w:val="0"/>
        <w:bidi w:val="0"/>
        <w:adjustRightInd w:val="0"/>
        <w:snapToGrid/>
        <w:spacing w:line="340" w:lineRule="exact"/>
        <w:textAlignment w:val="auto"/>
        <w:rPr>
          <w:rFonts w:hint="eastAsia" w:ascii="宋体" w:hAnsi="宋体" w:eastAsia="宋体" w:cs="宋体"/>
          <w:b/>
          <w:bCs/>
          <w:color w:val="auto"/>
          <w:spacing w:val="-11"/>
          <w:sz w:val="21"/>
          <w:szCs w:val="21"/>
          <w:highlight w:val="none"/>
          <w:lang w:val="en-US" w:eastAsia="zh-CN"/>
        </w:rPr>
      </w:pPr>
      <w:r>
        <w:rPr>
          <w:rFonts w:hint="eastAsia" w:ascii="宋体" w:hAnsi="宋体" w:eastAsia="宋体" w:cs="宋体"/>
          <w:b/>
          <w:bCs/>
          <w:color w:val="auto"/>
          <w:spacing w:val="-11"/>
          <w:sz w:val="21"/>
          <w:szCs w:val="21"/>
          <w:highlight w:val="none"/>
          <w:lang w:val="en-US" w:eastAsia="zh-CN"/>
        </w:rPr>
        <w:t>二、采购产品清单：</w:t>
      </w:r>
    </w:p>
    <w:tbl>
      <w:tblPr>
        <w:tblStyle w:val="2"/>
        <w:tblW w:w="757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2383"/>
        <w:gridCol w:w="2016"/>
        <w:gridCol w:w="1829"/>
      </w:tblGrid>
      <w:tr w14:paraId="314F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B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66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47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0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0219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0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4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柔纱帘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68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平方米</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2B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3364.2</w:t>
            </w:r>
          </w:p>
        </w:tc>
      </w:tr>
      <w:tr w14:paraId="1E9A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23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D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卷帘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B0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平方米</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2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1478.1</w:t>
            </w:r>
          </w:p>
        </w:tc>
      </w:tr>
      <w:tr w14:paraId="0329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30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8C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床帘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6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米</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35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3620</w:t>
            </w:r>
          </w:p>
        </w:tc>
      </w:tr>
      <w:tr w14:paraId="3532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6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5 </w:t>
            </w:r>
          </w:p>
        </w:tc>
        <w:tc>
          <w:tcPr>
            <w:tcW w:w="2383" w:type="dxa"/>
            <w:tcBorders>
              <w:top w:val="nil"/>
              <w:left w:val="single" w:color="000000" w:sz="4" w:space="0"/>
              <w:bottom w:val="single" w:color="000000" w:sz="4" w:space="0"/>
              <w:right w:val="single" w:color="000000" w:sz="4" w:space="0"/>
            </w:tcBorders>
            <w:shd w:val="clear" w:color="auto" w:fill="auto"/>
            <w:vAlign w:val="center"/>
          </w:tcPr>
          <w:p w14:paraId="01C6E4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全遮光布帘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74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米</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FD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160.2</w:t>
            </w:r>
          </w:p>
        </w:tc>
      </w:tr>
      <w:tr w14:paraId="321E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60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6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9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布帘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61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米</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967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2749.8</w:t>
            </w:r>
          </w:p>
        </w:tc>
      </w:tr>
      <w:tr w14:paraId="6A22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53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7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6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纱帘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72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米</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2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234.6</w:t>
            </w:r>
          </w:p>
        </w:tc>
      </w:tr>
      <w:tr w14:paraId="75DC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D0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8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BC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浴帘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96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副</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C3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183</w:t>
            </w:r>
          </w:p>
        </w:tc>
      </w:tr>
      <w:tr w14:paraId="5912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3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9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CD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轨道</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7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米</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2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4692.3</w:t>
            </w:r>
          </w:p>
        </w:tc>
      </w:tr>
      <w:tr w14:paraId="384B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2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10 </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A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顶上加固点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4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张</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E7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624</w:t>
            </w:r>
          </w:p>
        </w:tc>
      </w:tr>
      <w:tr w14:paraId="756D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7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CFAD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1、布帘、床帘、纱帘加工比例≥1:2褶皱率。</w:t>
            </w:r>
            <w:r>
              <w:rPr>
                <w:rFonts w:hint="eastAsia" w:ascii="宋体" w:hAnsi="宋体" w:cs="宋体"/>
                <w:b/>
                <w:bCs/>
                <w:i w:val="0"/>
                <w:iCs w:val="0"/>
                <w:color w:val="000000"/>
                <w:kern w:val="0"/>
                <w:sz w:val="21"/>
                <w:szCs w:val="21"/>
                <w:u w:val="none"/>
                <w:lang w:val="en-US" w:eastAsia="zh-CN" w:bidi="ar"/>
              </w:rPr>
              <w:t>2、带“*”需带样品</w:t>
            </w:r>
            <w:bookmarkStart w:id="0" w:name="_GoBack"/>
            <w:bookmarkEnd w:id="0"/>
          </w:p>
        </w:tc>
      </w:tr>
      <w:tr w14:paraId="1220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F668F">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本清单不包含1号楼8-12层，3号楼4层5层的床帘及浴帘</w:t>
            </w:r>
          </w:p>
        </w:tc>
      </w:tr>
    </w:tbl>
    <w:p w14:paraId="5361B16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备注：</w:t>
      </w:r>
    </w:p>
    <w:p w14:paraId="576B67B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以上数据仅作为参考，具体以实际安装为准。</w:t>
      </w:r>
    </w:p>
    <w:p w14:paraId="57D7591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各区域窗帘颜色中标后由采购人确定。</w:t>
      </w:r>
    </w:p>
    <w:p w14:paraId="48685BE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pacing w:val="-11"/>
          <w:sz w:val="21"/>
          <w:szCs w:val="21"/>
          <w:lang w:val="en-US" w:eastAsia="zh-CN"/>
        </w:rPr>
      </w:pPr>
      <w:r>
        <w:rPr>
          <w:rFonts w:hint="eastAsia" w:ascii="宋体" w:hAnsi="宋体" w:eastAsia="宋体" w:cs="宋体"/>
          <w:color w:val="auto"/>
          <w:spacing w:val="-11"/>
          <w:sz w:val="21"/>
          <w:szCs w:val="21"/>
          <w:lang w:val="en-US" w:eastAsia="zh-CN"/>
        </w:rPr>
        <w:t>布帘、隔帘、纱帘实际结算时按窗户宽度*对应的褶皱。</w:t>
      </w:r>
    </w:p>
    <w:p w14:paraId="27C77DB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pacing w:val="-11"/>
          <w:sz w:val="21"/>
          <w:szCs w:val="21"/>
          <w:lang w:val="en-US" w:eastAsia="zh-CN"/>
        </w:rPr>
      </w:pPr>
      <w:r>
        <w:rPr>
          <w:rFonts w:hint="eastAsia" w:ascii="宋体" w:hAnsi="宋体" w:cs="宋体"/>
          <w:b/>
          <w:bCs/>
          <w:i w:val="0"/>
          <w:iCs w:val="0"/>
          <w:color w:val="000000"/>
          <w:kern w:val="0"/>
          <w:sz w:val="21"/>
          <w:szCs w:val="21"/>
          <w:u w:val="none"/>
          <w:lang w:val="en-US" w:eastAsia="zh-CN" w:bidi="ar"/>
        </w:rPr>
        <w:t>带*需要现场提供样品</w:t>
      </w:r>
    </w:p>
    <w:p w14:paraId="754E3B23">
      <w:pPr>
        <w:keepNext w:val="0"/>
        <w:keepLines w:val="0"/>
        <w:pageBreakBefore w:val="0"/>
        <w:tabs>
          <w:tab w:val="left" w:pos="8280"/>
        </w:tabs>
        <w:kinsoku/>
        <w:wordWrap/>
        <w:overflowPunct/>
        <w:topLinePunct w:val="0"/>
        <w:autoSpaceDE w:val="0"/>
        <w:autoSpaceDN w:val="0"/>
        <w:bidi w:val="0"/>
        <w:adjustRightInd w:val="0"/>
        <w:snapToGrid/>
        <w:spacing w:line="340" w:lineRule="exact"/>
        <w:textAlignment w:val="auto"/>
        <w:rPr>
          <w:rFonts w:hint="eastAsia" w:ascii="宋体" w:hAnsi="宋体" w:eastAsia="宋体" w:cs="宋体"/>
          <w:b/>
          <w:bCs/>
          <w:color w:val="auto"/>
          <w:spacing w:val="-11"/>
          <w:sz w:val="21"/>
          <w:szCs w:val="21"/>
          <w:highlight w:val="none"/>
          <w:lang w:val="en-US" w:eastAsia="zh-CN"/>
        </w:rPr>
      </w:pPr>
      <w:r>
        <w:rPr>
          <w:rFonts w:hint="eastAsia" w:ascii="宋体" w:hAnsi="宋体" w:eastAsia="宋体" w:cs="宋体"/>
          <w:b/>
          <w:bCs/>
          <w:color w:val="auto"/>
          <w:spacing w:val="-11"/>
          <w:sz w:val="21"/>
          <w:szCs w:val="21"/>
          <w:highlight w:val="none"/>
          <w:lang w:val="en-US" w:eastAsia="zh-CN"/>
        </w:rPr>
        <w:t>三、技术要求：</w:t>
      </w:r>
    </w:p>
    <w:tbl>
      <w:tblPr>
        <w:tblStyle w:val="2"/>
        <w:tblW w:w="783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097"/>
        <w:gridCol w:w="6213"/>
      </w:tblGrid>
      <w:tr w14:paraId="3443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3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A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B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招标参数</w:t>
            </w:r>
          </w:p>
        </w:tc>
      </w:tr>
      <w:tr w14:paraId="4D25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B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D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15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1.成分：100%聚酯纤维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2.克重量：≥1200g/㎡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3.耐化学性，且具有抗虫蛀功能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4.无甲醛、无异味、无致癌物质，无重金属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5.耐光色牢度＞5级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6.耐洗色牢度≥4级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7.透气率：≥103mm/s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8.悬垂性≥90%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9.防紫外线性能≥40+（须提供CMA第三方检测机构出具的合格检测报告扫描件加盖投标人公章）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10.无任何毒性,燃烧时无黑烟，无刺激性气味，属绿色环保型产品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11.安全：本产品为永久阻燃隔帘布，产品相应国家标准，氧指数≥32％、续燃时间≤5秒、平均阴燃时间≤5秒、平均损毁长度≤150mm、烟密度≤15、耐水洗≥50次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12.无任何毒性,燃烧时无黑烟，无刺激性气味，属绿色环保型产品，且离火即熄，不继续燃烧。（须提供CMA第三方检测机构出具的合格检测报告扫描件加盖投标人公章）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13.2倍褶皱</w:t>
            </w:r>
          </w:p>
        </w:tc>
      </w:tr>
      <w:tr w14:paraId="7153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C442">
            <w:pPr>
              <w:jc w:val="center"/>
              <w:rPr>
                <w:rFonts w:hint="eastAsia" w:ascii="宋体" w:hAnsi="宋体" w:eastAsia="宋体" w:cs="宋体"/>
                <w:i w:val="0"/>
                <w:iCs w:val="0"/>
                <w:color w:val="000000"/>
                <w:sz w:val="21"/>
                <w:szCs w:val="21"/>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E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全遮光布帘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3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1.成分：100％聚酯纤维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2.克重量：≥1200g/㎡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3.具有抗虫蛀功能，无甲醛，无异味，无致癌物，无静电，不起球，干洗水洗不变形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4.耐光色牢度4-5级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5.悬垂性85％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6.2倍褶皱</w:t>
            </w:r>
          </w:p>
        </w:tc>
      </w:tr>
      <w:tr w14:paraId="403D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7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A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采用6063T优质铝材。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外观质量：型材表面应清洁，不允许有裂纹、鼓泡、裂纹等可视缺陷。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1、规定非比例延伸强度≥205MPa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2、抗拉强度≥230MPa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3、断后伸长率≥13%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4、漆膜硬度≥4H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5、漆膜附着性：0级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6、韦氏硬度≥13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7、涂层厚度≥71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8、耐盐雾腐蚀性能（48h）≥9.5级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9、耐碱性（24h）≥9.5级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10、壁厚≥1.3mm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11、耐磨性：落下的磨料质量为2500g时，涂层未被磨穿。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12、耐盐酸性：目视表面无起泡、变色或其他明显现象；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13、耐沸水性（5h）：漆膜应无皱纹、裂纹、气泡、脱落及变色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14、耐硝酸性：目视表面，无起泡、变色、脱落或其他明显变化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15、耐溶剂性：漆膜无软化及其他明显变化</w:t>
            </w:r>
          </w:p>
        </w:tc>
      </w:tr>
      <w:tr w14:paraId="01BB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C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2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0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1.成份：100％聚酯纤维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2.克重量：≥650g/㎡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3.隔帘上端1/3处以网状体现，经多次洗涤仍保持阻燃性能 （洗涤50次以后阻燃效果不改变）（须提供CMA第三方检测机构出具的合格检测报告扫描件加盖投标人公章）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4.撕破强力5级，无重金属含量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起球性能≥4级，耐光色牢度≥4级，耐洗色牢度≥4级，耐酸汗渍耐碱汗渍色度≥4级，断裂强力经向≥1100N，纬向≥350N，透气率：≥103mm/s；（须提供CMA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6.无静电，悬垂性≥80％，无任何毒性,燃烧时无黑烟，无刺激性气味，属绿色环保型产品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7.轨道：铝合金材质，壁厚≥1.8mm，抗拉强度≥200Rm，维氏硬度≥50（须提供CMA第三方检测机构出具的合格检测报告扫描件加盖投标人公章）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8、2倍褶皱</w:t>
            </w:r>
          </w:p>
        </w:tc>
      </w:tr>
      <w:tr w14:paraId="59F0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C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9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纱帘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0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1.成分：100%聚酯纤维，100% D防勾丝金刚纱；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2.克重量：≥125g/㎡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3.甲醛含量：≤300mg/kg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4.ph值：4-9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5.异味：无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6.可分解致癌芳香胺染料：≤20mg/kg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7.耐水色牢度（变色、沾色）：≥3级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8.耐干摩擦色牢度（沾色）：≥3级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9.可萃取的重金属（铅≤1.0mg/kg、铬≤2.0mg/kg、汞≤0.02mg/kg；）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10.致敏染料：禁用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11.起球≥3级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12.耐光色牢度(变色)：≥5级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13.透气率：≥3800mm/s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14.静电性能：静电电压：≤1400V  半衰期时间：≤0.8s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15.断裂强力：经向≥260N，纬向≥230N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16.胀破强力：≥700N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17.耐磨性能、耐磨次数：≥60000次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18.二氯甲烷可溶性物质： ≤1.4%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19.透光度90％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20.2倍褶皱（特殊区域褶皱需要增加至2.3倍）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注：以上各项技术指标需提供有效期内第三方权威检测机构出具的带有国家计量认证（CMA）及质监验字（CAL）标识的检测报告原件进行佐证。</w:t>
            </w:r>
          </w:p>
        </w:tc>
      </w:tr>
      <w:tr w14:paraId="50D0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2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柔纱帘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4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1.成份：76％聚酯纤维+24％粘纤                       2.克重量：最薄部分≤105g/㎡，最厚部分≤430/㎡；厚度：最薄≤0.5mm，最厚部分≤0.75mm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3.无甲醛含量（须提供CMA第三方检测机构出具的合格检测报告扫描件加盖投标人公章）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双层面料来调节光线面料有透明纱和柔纱帘两种横条设计，横条与横条之间相互交错，通过重叠或错开两层面料上两种不同透光度的横条来调节进光量的大小，当柔纱帘横条与透明纱重叠时，光线通过量最小，当两层透明纱重叠在一起时，采光量最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5.升降机构：采用万向转动制头；收展帘均匀、省力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6.具有良好的综合性能：机械强度高、耐疲劳，尺寸稳定性好，高温下也极少有变形；耐热老化性优异，不易变形、老化；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7.耐化学性，且具有抗虫蛀功能。</w:t>
            </w:r>
          </w:p>
        </w:tc>
      </w:tr>
      <w:tr w14:paraId="2AE5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A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3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1.成分：聚酯纤维≥70% 厚度≥0.6mm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2.克重量：≥500g/㎡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3.开孔率为1％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4.日晒牢度＞5级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5.无甲醛，无异味，无致癌物质，（须提供CMA第三方检测机构出具的合格检测报告扫描件加盖投标人公章）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6.制头：拉珠采用POM塑料原料，面料防污、防霉、防油渍，易清洗，制头连续循环使用≥10000次寿命（须提供第三方检测机构出具的合格检测报告扫描件加盖投标人公章）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7.卷管：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铝合金卷管，直径≥45mm，壁厚≥1.5mm，内置6根及以上加强筋，规定塑性延伸强度≥180 MPa；抗拉强度≥200 MPa，断后伸长率≥10%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8.下杆：铝合金材质，规定塑性延伸强度≥150MPa，抗拉强度≥200MPa，伸长率≥10%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9.生产工艺：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9.1卷帘面料两侧约1cm烫边处理，确保面料无毛边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9.2采用面料包裹式高频焊接下杆，不得使用双面胶或订书针式工艺</w:t>
            </w:r>
          </w:p>
        </w:tc>
      </w:tr>
      <w:tr w14:paraId="7BD2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90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卫生间浴帘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A9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1.成分：100％PEVA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2.无毒无味，弹性好，强度高，耐腐蚀，耐撕裂，吸水性好，不易脆化，防潮、防霉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3.包括金属大环</w:t>
            </w:r>
          </w:p>
        </w:tc>
      </w:tr>
    </w:tbl>
    <w:p w14:paraId="545A30A2">
      <w:pPr>
        <w:widowControl/>
        <w:numPr>
          <w:ilvl w:val="0"/>
          <w:numId w:val="0"/>
        </w:numPr>
        <w:jc w:val="center"/>
        <w:rPr>
          <w:rFonts w:hint="eastAsia" w:ascii="宋体" w:hAnsi="宋体" w:eastAsia="宋体" w:cs="宋体"/>
          <w:b/>
          <w:bCs/>
          <w:color w:val="auto"/>
          <w:sz w:val="21"/>
          <w:szCs w:val="21"/>
        </w:rPr>
      </w:pPr>
    </w:p>
    <w:p w14:paraId="66745963">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5D126"/>
    <w:multiLevelType w:val="singleLevel"/>
    <w:tmpl w:val="6A05D12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70B48"/>
    <w:rsid w:val="039D6DDD"/>
    <w:rsid w:val="2560601D"/>
    <w:rsid w:val="37B96A9B"/>
    <w:rsid w:val="5EB70B48"/>
    <w:rsid w:val="68F2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b/>
      <w:bCs/>
      <w:color w:val="000000"/>
      <w:sz w:val="22"/>
      <w:szCs w:val="22"/>
      <w:u w:val="none"/>
    </w:rPr>
  </w:style>
  <w:style w:type="character" w:customStyle="1" w:styleId="5">
    <w:name w:val="font51"/>
    <w:basedOn w:val="3"/>
    <w:uiPriority w:val="0"/>
    <w:rPr>
      <w:rFonts w:hint="eastAsia" w:ascii="宋体" w:hAnsi="宋体" w:eastAsia="宋体" w:cs="宋体"/>
      <w:color w:val="000000"/>
      <w:sz w:val="22"/>
      <w:szCs w:val="22"/>
      <w:u w:val="none"/>
    </w:rPr>
  </w:style>
  <w:style w:type="character" w:customStyle="1" w:styleId="6">
    <w:name w:val="font41"/>
    <w:basedOn w:val="3"/>
    <w:qFormat/>
    <w:uiPriority w:val="0"/>
    <w:rPr>
      <w:rFonts w:hint="eastAsia" w:ascii="宋体" w:hAnsi="宋体" w:eastAsia="宋体" w:cs="宋体"/>
      <w:b/>
      <w:bCs/>
      <w:color w:val="FF0000"/>
      <w:sz w:val="22"/>
      <w:szCs w:val="22"/>
      <w:u w:val="none"/>
    </w:rPr>
  </w:style>
  <w:style w:type="character" w:customStyle="1" w:styleId="7">
    <w:name w:val="font61"/>
    <w:basedOn w:val="3"/>
    <w:qFormat/>
    <w:uiPriority w:val="0"/>
    <w:rPr>
      <w:rFonts w:ascii="Arial" w:hAnsi="Arial" w:cs="Arial"/>
      <w:b/>
      <w:bCs/>
      <w:color w:val="FF0000"/>
      <w:sz w:val="22"/>
      <w:szCs w:val="22"/>
      <w:u w:val="none"/>
    </w:rPr>
  </w:style>
  <w:style w:type="paragraph" w:customStyle="1" w:styleId="8">
    <w:name w:val="正文 A"/>
    <w:next w:val="9"/>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9">
    <w:name w:val="标题 11"/>
    <w:next w:val="8"/>
    <w:qFormat/>
    <w:uiPriority w:val="0"/>
    <w:pPr>
      <w:framePr w:wrap="around" w:vAnchor="margin" w:hAnchor="text" w:y="1"/>
      <w:widowControl w:val="0"/>
      <w:spacing w:before="120" w:after="120"/>
      <w:outlineLvl w:val="0"/>
    </w:pPr>
    <w:rPr>
      <w:rFonts w:hint="eastAsia" w:ascii="Arial Unicode MS" w:hAnsi="Arial Unicode MS" w:eastAsia="Arial Unicode MS" w:cs="Arial Unicode MS"/>
      <w:b/>
      <w:bCs/>
      <w:color w:val="000000"/>
      <w:kern w:val="2"/>
      <w:sz w:val="28"/>
      <w:szCs w:val="28"/>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2220</Words>
  <Characters>2628</Characters>
  <Lines>0</Lines>
  <Paragraphs>0</Paragraphs>
  <TotalTime>1</TotalTime>
  <ScaleCrop>false</ScaleCrop>
  <LinksUpToDate>false</LinksUpToDate>
  <CharactersWithSpaces>2730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2025-11-05T02:54:00Z</dcterms:created>
  <dc:creator>琪琪mm❤️</dc:creator>
  <cp:lastModifiedBy>陈雄伟</cp:lastModifiedBy>
  <dcterms:modified xsi:type="dcterms:W3CDTF">2025-11-16T12:17:04Z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49E8ED95849C4E53908D42B78D7630CF_11</vt:lpwstr>
  </property>
  <property fmtid="{D5CDD505-2E9C-101B-9397-08002B2CF9AE}" pid="4" name="KSOTemplateDocerSaveRecord">
    <vt:lpwstr>eyJoZGlkIjoiNDM5Nzc4NWE5NWU2MWJiYjRhYWVmOTE0MjAzYjE0ZjIiLCJ1c2VySWQiOiIzMjQ4MzQxNTYifQ==</vt:lpwstr>
  </property>
</Properties>
</file>