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hint="eastAsia" w:ascii="宋体"/>
          <w:b/>
          <w:color w:val="auto"/>
          <w:kern w:val="0"/>
          <w:sz w:val="52"/>
          <w:szCs w:val="52"/>
          <w:highlight w:val="none"/>
          <w:lang w:eastAsia="zh-CN"/>
        </w:rPr>
      </w:pPr>
    </w:p>
    <w:p>
      <w:pPr>
        <w:shd w:val="clear" w:color="auto"/>
        <w:spacing w:line="360" w:lineRule="auto"/>
        <w:jc w:val="center"/>
        <w:textAlignment w:val="bottom"/>
        <w:rPr>
          <w:rFonts w:hint="eastAsia" w:ascii="宋体"/>
          <w:b/>
          <w:color w:val="auto"/>
          <w:kern w:val="0"/>
          <w:sz w:val="52"/>
          <w:szCs w:val="52"/>
          <w:highlight w:val="none"/>
          <w:lang w:eastAsia="zh-CN"/>
        </w:rPr>
      </w:pPr>
    </w:p>
    <w:p>
      <w:pPr>
        <w:shd w:val="clear" w:color="auto"/>
        <w:spacing w:line="360" w:lineRule="auto"/>
        <w:jc w:val="center"/>
        <w:textAlignment w:val="bottom"/>
        <w:rPr>
          <w:rFonts w:hint="eastAsia" w:ascii="宋体"/>
          <w:b/>
          <w:color w:val="auto"/>
          <w:kern w:val="0"/>
          <w:sz w:val="52"/>
          <w:szCs w:val="52"/>
          <w:highlight w:val="none"/>
          <w:lang w:eastAsia="zh-CN"/>
        </w:rPr>
      </w:pPr>
    </w:p>
    <w:p>
      <w:pPr>
        <w:shd w:val="clear" w:color="auto"/>
        <w:spacing w:line="360" w:lineRule="auto"/>
        <w:jc w:val="center"/>
        <w:textAlignment w:val="bottom"/>
        <w:rPr>
          <w:rFonts w:hint="eastAsia" w:ascii="宋体"/>
          <w:b/>
          <w:color w:val="auto"/>
          <w:kern w:val="0"/>
          <w:sz w:val="52"/>
          <w:szCs w:val="52"/>
          <w:highlight w:val="none"/>
          <w:lang w:eastAsia="zh-CN"/>
        </w:rPr>
      </w:pPr>
      <w:bookmarkStart w:id="1" w:name="_GoBack"/>
      <w:r>
        <w:rPr>
          <w:rFonts w:hint="eastAsia" w:ascii="宋体"/>
          <w:b/>
          <w:color w:val="auto"/>
          <w:kern w:val="0"/>
          <w:sz w:val="52"/>
          <w:szCs w:val="52"/>
          <w:highlight w:val="none"/>
          <w:lang w:eastAsia="zh-CN"/>
        </w:rPr>
        <w:t>陪护椅换皮翻新项目</w:t>
      </w:r>
      <w:bookmarkEnd w:id="1"/>
    </w:p>
    <w:p>
      <w:pPr>
        <w:shd w:val="clear"/>
        <w:jc w:val="center"/>
        <w:rPr>
          <w:rFonts w:ascii="宋体" w:cs="宋体"/>
          <w:color w:val="auto"/>
          <w:sz w:val="52"/>
          <w:szCs w:val="52"/>
          <w:highlight w:val="none"/>
        </w:rPr>
      </w:pPr>
    </w:p>
    <w:p>
      <w:pPr>
        <w:shd w:val="clear"/>
        <w:jc w:val="center"/>
        <w:rPr>
          <w:rFonts w:ascii="宋体" w:cs="宋体"/>
          <w:b/>
          <w:color w:val="auto"/>
          <w:sz w:val="72"/>
          <w:szCs w:val="72"/>
          <w:highlight w:val="none"/>
        </w:rPr>
      </w:pPr>
    </w:p>
    <w:p>
      <w:pPr>
        <w:shd w:val="clear" w:color="auto"/>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lang w:eastAsia="zh-CN"/>
        </w:rPr>
        <w:t>竞争性谈判采购文件</w:t>
      </w:r>
    </w:p>
    <w:p>
      <w:pPr>
        <w:shd w:val="clear" w:color="auto"/>
        <w:spacing w:line="360" w:lineRule="auto"/>
        <w:jc w:val="center"/>
        <w:textAlignment w:val="bottom"/>
        <w:rPr>
          <w:rFonts w:ascii="宋体" w:hAnsi="宋体"/>
          <w:color w:val="auto"/>
          <w:sz w:val="28"/>
          <w:szCs w:val="28"/>
          <w:highlight w:val="none"/>
        </w:rPr>
      </w:pPr>
    </w:p>
    <w:p>
      <w:pPr>
        <w:shd w:val="clear" w:color="auto"/>
        <w:spacing w:line="360" w:lineRule="auto"/>
        <w:jc w:val="center"/>
        <w:textAlignment w:val="bottom"/>
        <w:rPr>
          <w:rFonts w:ascii="宋体" w:hAnsi="宋体"/>
          <w:color w:val="auto"/>
          <w:sz w:val="28"/>
          <w:szCs w:val="28"/>
          <w:highlight w:val="none"/>
        </w:rPr>
      </w:pPr>
    </w:p>
    <w:p>
      <w:pPr>
        <w:shd w:val="clear" w:color="auto"/>
        <w:spacing w:line="360" w:lineRule="auto"/>
        <w:jc w:val="center"/>
        <w:textAlignment w:val="bottom"/>
        <w:rPr>
          <w:rFonts w:hint="eastAsia" w:ascii="宋体"/>
          <w:b/>
          <w:color w:val="auto"/>
          <w:kern w:val="0"/>
          <w:sz w:val="52"/>
          <w:szCs w:val="52"/>
          <w:highlight w:val="none"/>
          <w:lang w:eastAsia="zh-CN"/>
        </w:rPr>
      </w:pPr>
    </w:p>
    <w:p>
      <w:pPr>
        <w:shd w:val="clear" w:color="auto"/>
        <w:spacing w:line="360" w:lineRule="auto"/>
        <w:jc w:val="center"/>
        <w:textAlignment w:val="bottom"/>
        <w:rPr>
          <w:rFonts w:hint="eastAsia" w:ascii="宋体"/>
          <w:b w:val="0"/>
          <w:bCs/>
          <w:color w:val="auto"/>
          <w:kern w:val="0"/>
          <w:sz w:val="32"/>
          <w:szCs w:val="32"/>
          <w:highlight w:val="none"/>
          <w:lang w:eastAsia="zh-CN"/>
        </w:rPr>
      </w:pPr>
      <w:r>
        <w:rPr>
          <w:rFonts w:hint="eastAsia" w:ascii="宋体"/>
          <w:b w:val="0"/>
          <w:bCs/>
          <w:color w:val="auto"/>
          <w:kern w:val="0"/>
          <w:sz w:val="32"/>
          <w:szCs w:val="32"/>
          <w:highlight w:val="none"/>
          <w:lang w:eastAsia="zh-CN"/>
        </w:rPr>
        <w:t>项目编号：TZSLYY-01</w:t>
      </w:r>
    </w:p>
    <w:p>
      <w:pPr>
        <w:shd w:val="clear" w:color="auto"/>
        <w:spacing w:line="360" w:lineRule="auto"/>
        <w:jc w:val="center"/>
        <w:textAlignment w:val="bottom"/>
        <w:rPr>
          <w:rFonts w:hint="eastAsia" w:ascii="宋体"/>
          <w:b w:val="0"/>
          <w:bCs/>
          <w:color w:val="auto"/>
          <w:kern w:val="0"/>
          <w:sz w:val="32"/>
          <w:szCs w:val="32"/>
          <w:highlight w:val="none"/>
          <w:lang w:val="en-US" w:eastAsia="zh-CN"/>
        </w:rPr>
      </w:pPr>
    </w:p>
    <w:p>
      <w:pPr>
        <w:shd w:val="clear" w:color="auto"/>
        <w:spacing w:line="360" w:lineRule="auto"/>
        <w:jc w:val="center"/>
        <w:textAlignment w:val="bottom"/>
        <w:rPr>
          <w:rFonts w:hint="eastAsia" w:ascii="宋体"/>
          <w:b w:val="0"/>
          <w:bCs/>
          <w:color w:val="auto"/>
          <w:kern w:val="0"/>
          <w:sz w:val="32"/>
          <w:szCs w:val="32"/>
          <w:highlight w:val="none"/>
          <w:lang w:val="en-US" w:eastAsia="zh-CN"/>
        </w:rPr>
      </w:pPr>
      <w:r>
        <w:rPr>
          <w:rFonts w:hint="eastAsia" w:ascii="宋体"/>
          <w:b w:val="0"/>
          <w:bCs/>
          <w:color w:val="auto"/>
          <w:kern w:val="0"/>
          <w:sz w:val="32"/>
          <w:szCs w:val="32"/>
          <w:highlight w:val="none"/>
          <w:lang w:val="en-US" w:eastAsia="zh-CN"/>
        </w:rPr>
        <w:t>采购人：台州市立医院</w:t>
      </w:r>
    </w:p>
    <w:p>
      <w:pPr>
        <w:shd w:val="clear" w:color="auto"/>
        <w:spacing w:line="360" w:lineRule="auto"/>
        <w:jc w:val="center"/>
        <w:textAlignment w:val="bottom"/>
        <w:rPr>
          <w:rFonts w:hint="eastAsia" w:ascii="宋体"/>
          <w:b w:val="0"/>
          <w:bCs/>
          <w:color w:val="auto"/>
          <w:kern w:val="0"/>
          <w:sz w:val="32"/>
          <w:szCs w:val="32"/>
          <w:highlight w:val="none"/>
          <w:lang w:val="en-US" w:eastAsia="zh-CN"/>
        </w:rPr>
      </w:pPr>
    </w:p>
    <w:p>
      <w:pPr>
        <w:shd w:val="clear" w:color="auto"/>
        <w:spacing w:line="360" w:lineRule="auto"/>
        <w:jc w:val="center"/>
        <w:textAlignment w:val="bottom"/>
        <w:rPr>
          <w:rFonts w:hint="eastAsia" w:ascii="宋体"/>
          <w:b w:val="0"/>
          <w:bCs/>
          <w:color w:val="auto"/>
          <w:kern w:val="0"/>
          <w:sz w:val="32"/>
          <w:szCs w:val="32"/>
          <w:highlight w:val="none"/>
          <w:lang w:val="en-US" w:eastAsia="zh-CN"/>
        </w:rPr>
      </w:pPr>
    </w:p>
    <w:p>
      <w:pPr>
        <w:shd w:val="clear" w:color="auto"/>
        <w:spacing w:line="360" w:lineRule="auto"/>
        <w:jc w:val="center"/>
        <w:textAlignment w:val="bottom"/>
        <w:rPr>
          <w:rFonts w:hint="eastAsia" w:ascii="宋体"/>
          <w:b w:val="0"/>
          <w:bCs/>
          <w:color w:val="auto"/>
          <w:kern w:val="0"/>
          <w:sz w:val="32"/>
          <w:szCs w:val="32"/>
          <w:highlight w:val="none"/>
          <w:lang w:val="en-US" w:eastAsia="zh-CN"/>
        </w:rPr>
      </w:pPr>
      <w:r>
        <w:rPr>
          <w:rFonts w:hint="eastAsia" w:ascii="宋体"/>
          <w:b w:val="0"/>
          <w:bCs/>
          <w:color w:val="auto"/>
          <w:kern w:val="0"/>
          <w:sz w:val="32"/>
          <w:szCs w:val="32"/>
          <w:highlight w:val="none"/>
          <w:lang w:val="en-US" w:eastAsia="zh-CN"/>
        </w:rPr>
        <w:t>2024年2月</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pStyle w:val="12"/>
        <w:rPr>
          <w:rFonts w:ascii="宋体" w:hAnsi="宋体" w:cs="宋体"/>
          <w:color w:val="auto"/>
          <w:sz w:val="24"/>
          <w:szCs w:val="32"/>
          <w:highlight w:val="none"/>
        </w:rPr>
      </w:pPr>
    </w:p>
    <w:p/>
    <w:p>
      <w:pPr>
        <w:shd w:val="clear"/>
        <w:spacing w:line="360" w:lineRule="auto"/>
        <w:ind w:firstLine="480" w:firstLineChars="200"/>
        <w:rPr>
          <w:rFonts w:ascii="宋体" w:hAnsi="宋体" w:cs="宋体"/>
          <w:color w:val="auto"/>
          <w:sz w:val="24"/>
          <w:szCs w:val="32"/>
          <w:highlight w:val="none"/>
        </w:rPr>
      </w:pPr>
    </w:p>
    <w:p>
      <w:pPr>
        <w:shd w:val="clear"/>
        <w:jc w:val="center"/>
        <w:rPr>
          <w:rFonts w:hint="eastAsia"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t>目    录</w:t>
      </w:r>
    </w:p>
    <w:p>
      <w:pPr>
        <w:shd w:val="clear"/>
        <w:spacing w:line="360" w:lineRule="auto"/>
        <w:rPr>
          <w:rFonts w:ascii="宋体" w:hAnsi="宋体" w:eastAsia="宋体" w:cs="宋体"/>
          <w:color w:val="auto"/>
          <w:sz w:val="28"/>
          <w:szCs w:val="28"/>
          <w:highlight w:val="none"/>
        </w:rPr>
      </w:pPr>
    </w:p>
    <w:p>
      <w:pPr>
        <w:shd w:val="clear"/>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一章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竞争性谈判采购</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二章</w:t>
      </w:r>
      <w:r>
        <w:rPr>
          <w:rFonts w:hint="eastAsia" w:ascii="宋体" w:hAnsi="宋体" w:eastAsia="宋体" w:cs="宋体"/>
          <w:b/>
          <w:bCs/>
          <w:color w:val="auto"/>
          <w:sz w:val="32"/>
          <w:szCs w:val="32"/>
          <w:highlight w:val="none"/>
        </w:rPr>
        <w:t>　</w:t>
      </w: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须知</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谈判</w:t>
      </w:r>
      <w:r>
        <w:rPr>
          <w:rFonts w:hint="eastAsia" w:ascii="宋体" w:hAnsi="宋体" w:eastAsia="宋体" w:cs="宋体"/>
          <w:b/>
          <w:bCs/>
          <w:color w:val="auto"/>
          <w:sz w:val="32"/>
          <w:szCs w:val="32"/>
          <w:highlight w:val="none"/>
          <w:lang w:eastAsia="zh-CN"/>
        </w:rPr>
        <w:t>内容</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xml:space="preserve">  合同主要条款指引</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响应文件格式附件</w:t>
      </w: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p>
    <w:p>
      <w:pPr>
        <w:shd w:val="clea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hd w:val="clear"/>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第一章 竞争性谈判采购</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台州市立医院就陪护椅换皮翻新项目</w:t>
      </w:r>
      <w:r>
        <w:rPr>
          <w:rFonts w:hint="eastAsia" w:ascii="宋体" w:hAnsi="宋体" w:eastAsia="宋体" w:cs="宋体"/>
          <w:sz w:val="24"/>
          <w:szCs w:val="24"/>
        </w:rPr>
        <w:t>（非政府采购项目）进行竞争性谈判采购，现欢迎符合相关条件的国内供应商前来参加谈判。具体如下：</w:t>
      </w:r>
    </w:p>
    <w:p>
      <w:pPr>
        <w:bidi w:val="0"/>
        <w:spacing w:line="360" w:lineRule="auto"/>
        <w:rPr>
          <w:rFonts w:hint="default"/>
          <w:b/>
          <w:bCs/>
          <w:sz w:val="24"/>
          <w:szCs w:val="24"/>
        </w:rPr>
      </w:pPr>
      <w:r>
        <w:rPr>
          <w:rFonts w:hint="eastAsia"/>
          <w:b/>
          <w:bCs/>
          <w:sz w:val="24"/>
          <w:szCs w:val="24"/>
          <w:lang w:eastAsia="zh-CN"/>
        </w:rPr>
        <w:t>一</w:t>
      </w:r>
      <w:r>
        <w:rPr>
          <w:rFonts w:hint="eastAsia"/>
          <w:b/>
          <w:bCs/>
          <w:sz w:val="24"/>
          <w:szCs w:val="24"/>
        </w:rPr>
        <w:t>、谈判项目概况：</w:t>
      </w:r>
    </w:p>
    <w:tbl>
      <w:tblPr>
        <w:tblStyle w:val="22"/>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481"/>
        <w:gridCol w:w="1970"/>
        <w:gridCol w:w="121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1" w:type="dxa"/>
            <w:noWrap w:val="0"/>
            <w:vAlign w:val="center"/>
          </w:tcPr>
          <w:p>
            <w:pPr>
              <w:shd w:val="clear" w:color="auto" w:fill="auto"/>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标段号</w:t>
            </w:r>
          </w:p>
        </w:tc>
        <w:tc>
          <w:tcPr>
            <w:tcW w:w="2481" w:type="dxa"/>
            <w:noWrap w:val="0"/>
            <w:vAlign w:val="center"/>
          </w:tcPr>
          <w:p>
            <w:pPr>
              <w:shd w:val="clear" w:color="auto" w:fill="auto"/>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1970" w:type="dxa"/>
            <w:noWrap w:val="0"/>
            <w:vAlign w:val="center"/>
          </w:tcPr>
          <w:p>
            <w:pPr>
              <w:shd w:val="clear" w:color="auto" w:fill="auto"/>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1212" w:type="dxa"/>
            <w:noWrap w:val="0"/>
            <w:vAlign w:val="center"/>
          </w:tcPr>
          <w:p>
            <w:pPr>
              <w:shd w:val="clear" w:color="auto" w:fill="auto"/>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564" w:type="dxa"/>
            <w:noWrap w:val="0"/>
            <w:vAlign w:val="center"/>
          </w:tcPr>
          <w:p>
            <w:pPr>
              <w:shd w:val="clear" w:color="auto" w:fill="auto"/>
              <w:tabs>
                <w:tab w:val="left" w:pos="8280"/>
              </w:tabs>
              <w:autoSpaceDE w:val="0"/>
              <w:autoSpaceDN w:val="0"/>
              <w:adjustRightInd w:val="0"/>
              <w:ind w:right="25"/>
              <w:jc w:val="center"/>
              <w:rPr>
                <w:rFonts w:hint="eastAsia" w:ascii="宋体" w:hAnsi="宋体" w:eastAsia="宋体" w:cs="Times New Roman"/>
                <w:b/>
                <w:color w:val="auto"/>
                <w:sz w:val="24"/>
                <w:szCs w:val="24"/>
                <w:highlight w:val="none"/>
                <w:lang w:val="en-US" w:eastAsia="zh-CN"/>
              </w:rPr>
            </w:pPr>
            <w:r>
              <w:rPr>
                <w:rFonts w:hint="eastAsia" w:ascii="宋体" w:hAnsi="宋体"/>
                <w:b/>
                <w:color w:val="auto"/>
                <w:sz w:val="24"/>
                <w:szCs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1" w:type="dxa"/>
            <w:noWrap w:val="0"/>
            <w:vAlign w:val="center"/>
          </w:tcPr>
          <w:p>
            <w:pPr>
              <w:shd w:val="clear" w:color="auto" w:fill="auto"/>
              <w:tabs>
                <w:tab w:val="left" w:pos="8280"/>
              </w:tabs>
              <w:autoSpaceDE w:val="0"/>
              <w:autoSpaceDN w:val="0"/>
              <w:adjustRightInd w:val="0"/>
              <w:ind w:right="25"/>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481" w:type="dxa"/>
            <w:noWrap w:val="0"/>
            <w:vAlign w:val="center"/>
          </w:tcPr>
          <w:p>
            <w:pPr>
              <w:shd w:val="clear" w:color="auto" w:fill="auto"/>
              <w:tabs>
                <w:tab w:val="left" w:pos="8280"/>
              </w:tabs>
              <w:autoSpaceDE w:val="0"/>
              <w:autoSpaceDN w:val="0"/>
              <w:adjustRightInd w:val="0"/>
              <w:ind w:right="25"/>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陪护椅换皮翻新项目</w:t>
            </w:r>
          </w:p>
        </w:tc>
        <w:tc>
          <w:tcPr>
            <w:tcW w:w="1970" w:type="dxa"/>
            <w:noWrap w:val="0"/>
            <w:vAlign w:val="center"/>
          </w:tcPr>
          <w:p>
            <w:pPr>
              <w:shd w:val="clear" w:color="auto" w:fill="auto"/>
              <w:tabs>
                <w:tab w:val="left" w:pos="8280"/>
              </w:tabs>
              <w:autoSpaceDE w:val="0"/>
              <w:autoSpaceDN w:val="0"/>
              <w:adjustRightInd w:val="0"/>
              <w:ind w:right="25"/>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详见招标文件</w:t>
            </w:r>
          </w:p>
        </w:tc>
        <w:tc>
          <w:tcPr>
            <w:tcW w:w="1212" w:type="dxa"/>
            <w:noWrap w:val="0"/>
            <w:vAlign w:val="center"/>
          </w:tcPr>
          <w:p>
            <w:pPr>
              <w:shd w:val="clear" w:color="auto" w:fill="auto"/>
              <w:tabs>
                <w:tab w:val="left" w:pos="8280"/>
              </w:tabs>
              <w:autoSpaceDE w:val="0"/>
              <w:autoSpaceDN w:val="0"/>
              <w:adjustRightInd w:val="0"/>
              <w:ind w:right="25"/>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约450张</w:t>
            </w:r>
          </w:p>
        </w:tc>
        <w:tc>
          <w:tcPr>
            <w:tcW w:w="1564" w:type="dxa"/>
            <w:noWrap w:val="0"/>
            <w:vAlign w:val="center"/>
          </w:tcPr>
          <w:p>
            <w:pPr>
              <w:shd w:val="clear" w:color="auto" w:fill="auto"/>
              <w:tabs>
                <w:tab w:val="left" w:pos="8280"/>
              </w:tabs>
              <w:autoSpaceDE w:val="0"/>
              <w:autoSpaceDN w:val="0"/>
              <w:adjustRightInd w:val="0"/>
              <w:ind w:right="25" w:rightChars="0"/>
              <w:jc w:val="center"/>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150元/张</w:t>
            </w:r>
          </w:p>
        </w:tc>
      </w:tr>
    </w:tbl>
    <w:p>
      <w:pPr>
        <w:bidi w:val="0"/>
        <w:spacing w:line="360" w:lineRule="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二</w:t>
      </w:r>
      <w:r>
        <w:rPr>
          <w:rFonts w:hint="eastAsia" w:ascii="Times New Roman" w:hAnsi="Times New Roman" w:eastAsia="宋体" w:cs="Times New Roman"/>
          <w:b/>
          <w:bCs/>
          <w:sz w:val="24"/>
          <w:szCs w:val="24"/>
        </w:rPr>
        <w:t>、谈判供应商资格要求：</w:t>
      </w:r>
    </w:p>
    <w:p>
      <w:pPr>
        <w:bidi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符合《中华人民共和国政府采购法》第二十二条及其他法律、行政法规规定的对投标主体的要求；</w:t>
      </w:r>
    </w:p>
    <w:p>
      <w:pPr>
        <w:bidi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本项目接受不联合体投标。</w:t>
      </w:r>
    </w:p>
    <w:p>
      <w:pPr>
        <w:bidi w:val="0"/>
        <w:spacing w:line="360" w:lineRule="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三</w:t>
      </w:r>
      <w:r>
        <w:rPr>
          <w:rFonts w:hint="eastAsia" w:ascii="Times New Roman" w:hAnsi="Times New Roman" w:eastAsia="宋体" w:cs="Times New Roman"/>
          <w:b/>
          <w:bCs/>
          <w:sz w:val="24"/>
          <w:szCs w:val="24"/>
        </w:rPr>
        <w:t>、竞争性谈判文件的发售时间及地点等：</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谈</w:t>
      </w:r>
      <w:r>
        <w:rPr>
          <w:rFonts w:hint="eastAsia" w:ascii="宋体" w:hAnsi="宋体" w:eastAsia="宋体" w:cs="宋体"/>
          <w:color w:val="auto"/>
          <w:sz w:val="24"/>
          <w:szCs w:val="24"/>
        </w:rPr>
        <w:t>判文件发售时间：202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日(双休日及法定节假日除外，每日上午9：30—11：30，下午13：30—17：30，北京时间)</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谈判文件获取地点：</w:t>
      </w:r>
      <w:r>
        <w:rPr>
          <w:rFonts w:hint="eastAsia" w:ascii="宋体" w:hAnsi="宋体" w:eastAsia="宋体" w:cs="宋体"/>
          <w:color w:val="auto"/>
          <w:sz w:val="24"/>
          <w:szCs w:val="24"/>
          <w:lang w:eastAsia="zh-CN"/>
        </w:rPr>
        <w:t>台州市立医院支持保障部</w:t>
      </w:r>
      <w:r>
        <w:rPr>
          <w:rFonts w:hint="eastAsia" w:ascii="宋体" w:hAnsi="宋体" w:eastAsia="宋体" w:cs="宋体"/>
          <w:color w:val="auto"/>
          <w:sz w:val="24"/>
          <w:szCs w:val="24"/>
          <w:lang w:val="en-US" w:eastAsia="zh-CN"/>
        </w:rPr>
        <w:t>6号楼2楼（椒江区中山东路381-1号</w:t>
      </w:r>
      <w:r>
        <w:rPr>
          <w:rFonts w:hint="eastAsia" w:ascii="宋体" w:hAnsi="宋体" w:eastAsia="宋体" w:cs="宋体"/>
          <w:color w:val="auto"/>
          <w:sz w:val="24"/>
          <w:szCs w:val="24"/>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四、谈判响应截止时间：</w:t>
      </w:r>
      <w:r>
        <w:rPr>
          <w:rFonts w:hint="eastAsia" w:ascii="宋体" w:hAnsi="宋体" w:eastAsia="宋体" w:cs="宋体"/>
          <w:color w:val="auto"/>
          <w:sz w:val="24"/>
          <w:szCs w:val="24"/>
          <w:lang w:val="en-US" w:eastAsia="zh-CN"/>
        </w:rPr>
        <w:t>2024年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:30（北京时间）</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、谈判响应文件提交地点：</w:t>
      </w:r>
      <w:r>
        <w:rPr>
          <w:rFonts w:hint="eastAsia" w:ascii="宋体" w:hAnsi="宋体" w:eastAsia="宋体" w:cs="宋体"/>
          <w:color w:val="auto"/>
          <w:sz w:val="24"/>
          <w:szCs w:val="24"/>
          <w:lang w:eastAsia="zh-CN"/>
        </w:rPr>
        <w:t>台州市立医院门诊大楼</w:t>
      </w:r>
      <w:r>
        <w:rPr>
          <w:rFonts w:hint="eastAsia" w:ascii="宋体" w:hAnsi="宋体" w:eastAsia="宋体" w:cs="宋体"/>
          <w:color w:val="auto"/>
          <w:sz w:val="24"/>
          <w:szCs w:val="24"/>
          <w:lang w:val="en-US" w:eastAsia="zh-CN"/>
        </w:rPr>
        <w:t>12楼会议室</w:t>
      </w:r>
      <w:r>
        <w:rPr>
          <w:rFonts w:hint="eastAsia" w:ascii="宋体" w:hAnsi="宋体" w:eastAsia="宋体" w:cs="宋体"/>
          <w:color w:val="auto"/>
          <w:sz w:val="24"/>
          <w:szCs w:val="24"/>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、谈判时间：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、谈判地点：</w:t>
      </w:r>
      <w:r>
        <w:rPr>
          <w:rFonts w:hint="eastAsia" w:ascii="宋体" w:hAnsi="宋体" w:eastAsia="宋体" w:cs="宋体"/>
          <w:color w:val="auto"/>
          <w:sz w:val="24"/>
          <w:szCs w:val="24"/>
          <w:lang w:eastAsia="zh-CN"/>
        </w:rPr>
        <w:t>台州市立医院门诊大楼</w:t>
      </w:r>
      <w:r>
        <w:rPr>
          <w:rFonts w:hint="eastAsia" w:ascii="宋体" w:hAnsi="宋体" w:eastAsia="宋体" w:cs="宋体"/>
          <w:color w:val="auto"/>
          <w:sz w:val="24"/>
          <w:szCs w:val="24"/>
          <w:lang w:val="en-US" w:eastAsia="zh-CN"/>
        </w:rPr>
        <w:t>12楼会议室</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、其他事项：</w:t>
      </w:r>
      <w:r>
        <w:rPr>
          <w:rFonts w:hint="eastAsia" w:ascii="宋体" w:hAnsi="宋体" w:eastAsia="宋体" w:cs="宋体"/>
          <w:color w:val="auto"/>
          <w:sz w:val="24"/>
          <w:szCs w:val="24"/>
        </w:rPr>
        <w:t>投标人获取标书时应提交的资料：</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a）企业法人营业执照副本（复印件加盖公章）；</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b）法定代表人授权书原件（加盖公章）；</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c）报名人有效身份证件复印件；</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d)投标供应商报</w:t>
      </w:r>
      <w:r>
        <w:rPr>
          <w:rFonts w:hint="eastAsia" w:ascii="宋体" w:hAnsi="宋体" w:cs="宋体"/>
          <w:color w:val="auto"/>
          <w:sz w:val="24"/>
          <w:szCs w:val="24"/>
          <w:lang w:eastAsia="zh-CN"/>
        </w:rPr>
        <w:t>名</w:t>
      </w:r>
      <w:r>
        <w:rPr>
          <w:rFonts w:hint="eastAsia" w:ascii="宋体" w:hAnsi="宋体" w:eastAsia="宋体" w:cs="宋体"/>
          <w:color w:val="auto"/>
          <w:sz w:val="24"/>
          <w:szCs w:val="24"/>
        </w:rPr>
        <w:t>表。</w:t>
      </w:r>
    </w:p>
    <w:p>
      <w:pPr>
        <w:bidi w:val="0"/>
        <w:spacing w:line="360" w:lineRule="auto"/>
        <w:rPr>
          <w:rFonts w:hint="default"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、联系方式：</w:t>
      </w:r>
    </w:p>
    <w:p>
      <w:pPr>
        <w:bidi w:val="0"/>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采购单位：台州</w:t>
      </w:r>
      <w:r>
        <w:rPr>
          <w:rFonts w:hint="eastAsia" w:ascii="宋体" w:hAnsi="宋体" w:eastAsia="宋体" w:cs="宋体"/>
          <w:color w:val="auto"/>
          <w:sz w:val="24"/>
          <w:szCs w:val="24"/>
          <w:lang w:eastAsia="zh-CN"/>
        </w:rPr>
        <w:t>市立医院</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cs="宋体"/>
          <w:color w:val="auto"/>
          <w:sz w:val="24"/>
          <w:szCs w:val="24"/>
          <w:lang w:val="en-US" w:eastAsia="zh-CN"/>
        </w:rPr>
        <w:t>马女士</w:t>
      </w:r>
      <w:r>
        <w:rPr>
          <w:rFonts w:hint="eastAsia" w:ascii="宋体" w:hAnsi="宋体" w:eastAsia="宋体" w:cs="宋体"/>
          <w:color w:val="auto"/>
          <w:sz w:val="24"/>
          <w:szCs w:val="24"/>
        </w:rPr>
        <w:t>；联系电话：0576-88858</w:t>
      </w:r>
      <w:r>
        <w:rPr>
          <w:rFonts w:hint="eastAsia" w:ascii="宋体" w:hAnsi="宋体" w:eastAsia="宋体" w:cs="宋体"/>
          <w:color w:val="auto"/>
          <w:sz w:val="24"/>
          <w:szCs w:val="24"/>
          <w:lang w:val="en-US" w:eastAsia="zh-CN"/>
        </w:rPr>
        <w:t xml:space="preserve">136  </w:t>
      </w:r>
      <w:r>
        <w:rPr>
          <w:rFonts w:hint="eastAsia" w:ascii="宋体" w:hAnsi="宋体" w:cs="宋体"/>
          <w:color w:val="auto"/>
          <w:sz w:val="24"/>
          <w:szCs w:val="24"/>
          <w:lang w:val="en-US" w:eastAsia="zh-CN"/>
        </w:rPr>
        <w:t>15857666569</w:t>
      </w:r>
    </w:p>
    <w:p>
      <w:pPr>
        <w:pStyle w:val="2"/>
        <w:rPr>
          <w:rFonts w:hint="default"/>
          <w:color w:val="auto"/>
          <w:lang w:val="en-US"/>
        </w:rPr>
      </w:pPr>
      <w:r>
        <w:rPr>
          <w:rFonts w:hint="eastAsia" w:hAnsi="宋体" w:cs="宋体"/>
          <w:color w:val="auto"/>
          <w:sz w:val="24"/>
          <w:szCs w:val="24"/>
          <w:lang w:val="en-US" w:eastAsia="zh-CN"/>
        </w:rPr>
        <w:t xml:space="preserve">       张先生；联系电话：</w:t>
      </w:r>
      <w:r>
        <w:rPr>
          <w:rFonts w:hint="eastAsia" w:ascii="宋体" w:hAnsi="宋体" w:eastAsia="宋体" w:cs="宋体"/>
          <w:color w:val="auto"/>
          <w:sz w:val="24"/>
          <w:szCs w:val="24"/>
        </w:rPr>
        <w:t>0576-88858</w:t>
      </w:r>
      <w:r>
        <w:rPr>
          <w:rFonts w:hint="eastAsia" w:ascii="宋体" w:hAnsi="宋体" w:eastAsia="宋体" w:cs="宋体"/>
          <w:color w:val="auto"/>
          <w:sz w:val="24"/>
          <w:szCs w:val="24"/>
          <w:lang w:val="en-US" w:eastAsia="zh-CN"/>
        </w:rPr>
        <w:t>136</w:t>
      </w:r>
      <w:r>
        <w:rPr>
          <w:rFonts w:hint="eastAsia" w:hAnsi="宋体" w:cs="宋体"/>
          <w:color w:val="auto"/>
          <w:sz w:val="24"/>
          <w:szCs w:val="24"/>
          <w:lang w:val="en-US" w:eastAsia="zh-CN"/>
        </w:rPr>
        <w:t xml:space="preserve">  13957672525</w:t>
      </w:r>
    </w:p>
    <w:p>
      <w:pPr>
        <w:shd w:val="clear"/>
        <w:spacing w:line="360" w:lineRule="auto"/>
        <w:ind w:firstLine="6000" w:firstLineChars="2500"/>
        <w:jc w:val="both"/>
        <w:rPr>
          <w:rFonts w:hint="eastAsia" w:ascii="宋体" w:hAnsi="宋体" w:cs="宋体"/>
          <w:color w:val="auto"/>
          <w:sz w:val="24"/>
          <w:szCs w:val="32"/>
          <w:highlight w:val="none"/>
          <w:lang w:eastAsia="zh-CN"/>
        </w:rPr>
      </w:pPr>
    </w:p>
    <w:p>
      <w:pPr>
        <w:shd w:val="clear"/>
        <w:spacing w:line="360" w:lineRule="auto"/>
        <w:ind w:firstLine="6720" w:firstLineChars="2800"/>
        <w:jc w:val="both"/>
        <w:rPr>
          <w:rFonts w:hint="eastAsia" w:ascii="宋体" w:hAnsi="宋体" w:cs="宋体"/>
          <w:color w:val="auto"/>
          <w:sz w:val="24"/>
          <w:szCs w:val="32"/>
          <w:highlight w:val="none"/>
          <w:lang w:eastAsia="zh-CN"/>
        </w:rPr>
      </w:pPr>
      <w:r>
        <w:rPr>
          <w:rFonts w:hint="eastAsia" w:ascii="宋体" w:hAnsi="宋体" w:cs="宋体"/>
          <w:bCs/>
          <w:color w:val="auto"/>
          <w:sz w:val="24"/>
          <w:highlight w:val="none"/>
          <w:lang w:eastAsia="zh-CN"/>
        </w:rPr>
        <w:t>台州市立医院</w:t>
      </w:r>
    </w:p>
    <w:p>
      <w:pPr>
        <w:shd w:val="clear"/>
        <w:spacing w:line="360" w:lineRule="auto"/>
        <w:ind w:firstLine="6960" w:firstLineChars="2900"/>
        <w:jc w:val="both"/>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月</w:t>
      </w:r>
    </w:p>
    <w:p>
      <w:pPr>
        <w:shd w:val="clear"/>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第二章 供应商须知</w:t>
      </w:r>
    </w:p>
    <w:p>
      <w:pPr>
        <w:shd w:val="clear"/>
        <w:spacing w:line="36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前附表</w:t>
      </w:r>
    </w:p>
    <w:tbl>
      <w:tblPr>
        <w:tblStyle w:val="2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69"/>
        <w:gridCol w:w="136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符合谈判公告资格要求的供应商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谈判响应文件包装要求</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份，密封包装</w:t>
            </w:r>
            <w:r>
              <w:rPr>
                <w:rFonts w:hint="eastAsia" w:ascii="宋体" w:hAnsi="宋体" w:cs="宋体"/>
                <w:color w:val="auto"/>
                <w:sz w:val="24"/>
                <w:szCs w:val="24"/>
                <w:highlight w:val="none"/>
                <w:lang w:val="en-US" w:eastAsia="zh-CN"/>
              </w:rPr>
              <w:t>成一袋</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有效期</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后90天，</w:t>
            </w:r>
            <w:r>
              <w:rPr>
                <w:rFonts w:hint="eastAsia" w:ascii="宋体" w:hAnsi="宋体" w:eastAsia="宋体" w:cs="宋体"/>
                <w:color w:val="auto"/>
                <w:sz w:val="24"/>
                <w:szCs w:val="24"/>
                <w:highlight w:val="none"/>
                <w:lang w:eastAsia="zh-CN"/>
              </w:rPr>
              <w:t>谈判响应</w:t>
            </w:r>
            <w:r>
              <w:rPr>
                <w:rFonts w:hint="eastAsia" w:ascii="宋体" w:hAnsi="宋体" w:eastAsia="宋体" w:cs="宋体"/>
                <w:color w:val="auto"/>
                <w:sz w:val="24"/>
                <w:szCs w:val="24"/>
                <w:highlight w:val="none"/>
              </w:rPr>
              <w:t>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谈判响应文件递交</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24"/>
                <w:highlight w:val="none"/>
              </w:rPr>
              <w:t>截止时间：北京时间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:30</w:t>
            </w:r>
            <w:r>
              <w:rPr>
                <w:rFonts w:hint="eastAsia" w:ascii="宋体" w:hAnsi="宋体" w:eastAsia="宋体" w:cs="宋体"/>
                <w:b w:val="0"/>
                <w:bCs/>
                <w:color w:val="auto"/>
                <w:sz w:val="24"/>
                <w:szCs w:val="24"/>
                <w:highlight w:val="none"/>
              </w:rPr>
              <w:t>整</w:t>
            </w:r>
          </w:p>
          <w:p>
            <w:pPr>
              <w:shd w:val="clea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lang w:eastAsia="zh-CN"/>
              </w:rPr>
              <w:t>台州市立医院门诊大楼</w:t>
            </w:r>
            <w:r>
              <w:rPr>
                <w:rFonts w:hint="eastAsia" w:ascii="宋体" w:hAnsi="宋体" w:eastAsia="宋体" w:cs="宋体"/>
                <w:color w:val="auto"/>
                <w:sz w:val="24"/>
                <w:szCs w:val="24"/>
                <w:lang w:val="en-US" w:eastAsia="zh-CN"/>
              </w:rPr>
              <w:t>12楼会议室</w:t>
            </w:r>
          </w:p>
          <w:p>
            <w:pPr>
              <w:shd w:val="clea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w:t>
            </w:r>
            <w:r>
              <w:rPr>
                <w:rFonts w:hint="eastAsia" w:ascii="宋体" w:hAnsi="宋体" w:eastAsia="宋体" w:cs="宋体"/>
                <w:color w:val="auto"/>
                <w:sz w:val="24"/>
                <w:szCs w:val="24"/>
                <w:highlight w:val="none"/>
                <w:lang w:eastAsia="zh-CN"/>
              </w:rPr>
              <w:t>递交</w:t>
            </w:r>
            <w:r>
              <w:rPr>
                <w:rFonts w:hint="eastAsia" w:ascii="宋体" w:hAnsi="宋体" w:eastAsia="宋体" w:cs="宋体"/>
                <w:color w:val="auto"/>
                <w:sz w:val="24"/>
                <w:szCs w:val="24"/>
                <w:highlight w:val="none"/>
              </w:rPr>
              <w:t>的谈判响应文件恕不接受</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w:t>
            </w:r>
            <w:r>
              <w:rPr>
                <w:rFonts w:hint="eastAsia" w:ascii="宋体" w:hAnsi="宋体" w:eastAsia="宋体" w:cs="宋体"/>
                <w:b w:val="0"/>
                <w:bCs/>
                <w:color w:val="auto"/>
                <w:sz w:val="24"/>
                <w:szCs w:val="24"/>
                <w:highlight w:val="none"/>
              </w:rPr>
              <w:t>整</w:t>
            </w:r>
          </w:p>
          <w:p>
            <w:pPr>
              <w:shd w:val="clea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cs="宋体"/>
                <w:color w:val="auto"/>
                <w:sz w:val="24"/>
                <w:szCs w:val="32"/>
                <w:highlight w:val="none"/>
                <w:lang w:eastAsia="zh-CN"/>
              </w:rPr>
              <w:t>点：</w:t>
            </w:r>
            <w:r>
              <w:rPr>
                <w:rFonts w:hint="eastAsia" w:ascii="宋体" w:hAnsi="宋体" w:eastAsia="宋体" w:cs="宋体"/>
                <w:color w:val="auto"/>
                <w:sz w:val="24"/>
                <w:szCs w:val="24"/>
                <w:lang w:eastAsia="zh-CN"/>
              </w:rPr>
              <w:t>台州市立医院门诊大楼</w:t>
            </w:r>
            <w:r>
              <w:rPr>
                <w:rFonts w:hint="eastAsia" w:ascii="宋体" w:hAnsi="宋体" w:eastAsia="宋体" w:cs="宋体"/>
                <w:color w:val="auto"/>
                <w:sz w:val="24"/>
                <w:szCs w:val="24"/>
                <w:lang w:val="en-US" w:eastAsia="zh-CN"/>
              </w:rPr>
              <w:t>12楼会议室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0" w:type="dxa"/>
            <w:vMerge w:val="restart"/>
            <w:tcBorders>
              <w:top w:val="single" w:color="auto" w:sz="4" w:space="0"/>
              <w:left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69" w:type="dxa"/>
            <w:vMerge w:val="restart"/>
            <w:tcBorders>
              <w:top w:val="single" w:color="auto" w:sz="4" w:space="0"/>
              <w:left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谈判</w:t>
            </w:r>
            <w:r>
              <w:rPr>
                <w:rFonts w:hint="eastAsia" w:asciiTheme="majorEastAsia" w:hAnsiTheme="majorEastAsia" w:eastAsiaTheme="majorEastAsia" w:cstheme="majorEastAsia"/>
                <w:color w:val="auto"/>
                <w:sz w:val="24"/>
                <w:szCs w:val="24"/>
                <w:highlight w:val="none"/>
              </w:rPr>
              <w:t>保证金</w:t>
            </w:r>
          </w:p>
        </w:tc>
        <w:tc>
          <w:tcPr>
            <w:tcW w:w="1363" w:type="dxa"/>
            <w:tcBorders>
              <w:top w:val="single" w:color="auto" w:sz="4" w:space="0"/>
              <w:left w:val="single" w:color="auto" w:sz="4" w:space="0"/>
            </w:tcBorders>
            <w:vAlign w:val="center"/>
          </w:tcPr>
          <w:p>
            <w:pPr>
              <w:shd w:val="clear"/>
              <w:spacing w:line="360" w:lineRule="auto"/>
              <w:jc w:val="center"/>
              <w:rPr>
                <w:rFonts w:hint="eastAsia" w:eastAsia="宋体"/>
                <w:color w:val="auto"/>
                <w:highlight w:val="none"/>
                <w:lang w:val="en-US" w:eastAsia="zh-CN"/>
              </w:rPr>
            </w:pPr>
            <w:r>
              <w:rPr>
                <w:rFonts w:hint="eastAsia" w:ascii="宋体" w:hAnsi="宋体" w:cs="宋体"/>
                <w:color w:val="auto"/>
                <w:sz w:val="24"/>
                <w:highlight w:val="none"/>
              </w:rPr>
              <w:t>金额</w:t>
            </w:r>
          </w:p>
        </w:tc>
        <w:tc>
          <w:tcPr>
            <w:tcW w:w="5476" w:type="dxa"/>
            <w:tcBorders>
              <w:top w:val="single" w:color="auto" w:sz="4" w:space="0"/>
              <w:left w:val="single" w:color="auto" w:sz="4" w:space="0"/>
            </w:tcBorders>
            <w:vAlign w:val="center"/>
          </w:tcPr>
          <w:p>
            <w:pPr>
              <w:pStyle w:val="21"/>
              <w:snapToGrid w:val="0"/>
              <w:spacing w:before="0" w:beforeAutospacing="0" w:after="0" w:afterAutospacing="0" w:line="360" w:lineRule="auto"/>
              <w:rPr>
                <w:rFonts w:hint="default"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0" w:type="dxa"/>
            <w:vMerge w:val="continue"/>
            <w:tcBorders>
              <w:left w:val="single" w:color="auto" w:sz="4" w:space="0"/>
              <w:bottom w:val="single" w:color="auto" w:sz="4" w:space="0"/>
              <w:right w:val="single" w:color="auto" w:sz="4" w:space="0"/>
            </w:tcBorders>
            <w:vAlign w:val="center"/>
          </w:tcPr>
          <w:p>
            <w:pPr>
              <w:shd w:val="clear"/>
              <w:spacing w:line="360" w:lineRule="auto"/>
              <w:jc w:val="left"/>
              <w:rPr>
                <w:color w:val="auto"/>
              </w:rPr>
            </w:pPr>
          </w:p>
        </w:tc>
        <w:tc>
          <w:tcPr>
            <w:tcW w:w="1469" w:type="dxa"/>
            <w:vMerge w:val="continue"/>
            <w:tcBorders>
              <w:left w:val="single" w:color="auto" w:sz="4" w:space="0"/>
              <w:bottom w:val="single" w:color="auto" w:sz="4" w:space="0"/>
              <w:right w:val="single" w:color="auto" w:sz="4" w:space="0"/>
            </w:tcBorders>
            <w:vAlign w:val="center"/>
          </w:tcPr>
          <w:p>
            <w:pPr>
              <w:shd w:val="clear"/>
              <w:spacing w:line="360" w:lineRule="auto"/>
              <w:jc w:val="left"/>
              <w:rPr>
                <w:color w:val="auto"/>
              </w:rPr>
            </w:pPr>
          </w:p>
        </w:tc>
        <w:tc>
          <w:tcPr>
            <w:tcW w:w="1363" w:type="dxa"/>
            <w:tcBorders>
              <w:top w:val="single" w:color="auto" w:sz="4" w:space="0"/>
              <w:left w:val="single" w:color="auto" w:sz="4" w:space="0"/>
            </w:tcBorders>
            <w:vAlign w:val="center"/>
          </w:tcPr>
          <w:p>
            <w:pPr>
              <w:shd w:val="clear"/>
              <w:adjustRightInd w:val="0"/>
              <w:snapToGrid w:val="0"/>
              <w:spacing w:line="360" w:lineRule="auto"/>
              <w:jc w:val="center"/>
              <w:rPr>
                <w:color w:val="auto"/>
              </w:rPr>
            </w:pPr>
            <w:r>
              <w:rPr>
                <w:rFonts w:hint="eastAsia" w:ascii="宋体" w:hAnsi="宋体"/>
                <w:color w:val="auto"/>
                <w:sz w:val="24"/>
                <w:highlight w:val="none"/>
              </w:rPr>
              <w:t>支付形式</w:t>
            </w:r>
          </w:p>
        </w:tc>
        <w:tc>
          <w:tcPr>
            <w:tcW w:w="5476" w:type="dxa"/>
            <w:tcBorders>
              <w:top w:val="single" w:color="auto" w:sz="4" w:space="0"/>
              <w:left w:val="single" w:color="auto" w:sz="4" w:space="0"/>
            </w:tcBorders>
            <w:vAlign w:val="center"/>
          </w:tcPr>
          <w:p>
            <w:pPr>
              <w:adjustRightInd w:val="0"/>
              <w:snapToGrid w:val="0"/>
              <w:spacing w:line="360" w:lineRule="auto"/>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履约保证金</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实质性条款</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▲”的条款是实质性条款，谈判响应文件须作出实质性响应，否则作无效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469"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解释权</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本招标文件解释权属于采购人</w:t>
            </w:r>
            <w:r>
              <w:rPr>
                <w:rFonts w:hint="eastAsia" w:ascii="宋体" w:hAnsi="宋体" w:eastAsia="宋体" w:cs="宋体"/>
                <w:color w:val="auto"/>
                <w:sz w:val="24"/>
                <w:szCs w:val="24"/>
                <w:highlight w:val="none"/>
                <w:lang w:eastAsia="zh-CN"/>
              </w:rPr>
              <w:t>。</w:t>
            </w:r>
          </w:p>
        </w:tc>
      </w:tr>
    </w:tbl>
    <w:p>
      <w:pPr>
        <w:shd w:val="clear"/>
        <w:spacing w:line="360" w:lineRule="auto"/>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（一）适用范围</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本谈判采购文件适用于本次项目的谈判、评审、确定成交供应商、验收、合同履约、付款等行为（法律、法规另有规定的，从其规定）。</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（二）定义</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1、采购人：是指采购本次项目的国家机关、事业单位和团体组织。</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、谈判供应商：是指向</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提交谈判响应文件的单位或个人。</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、“书面形式”包括信函、传真等。</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、“▲”系指实质性要求条款。</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（三）谈判费用</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不论谈判结果如何，供应商均应自行承担所有与谈判有关的全部费用（谈判采购文件有相关规定除外）。</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（四）特别说明</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供应商在谈判活动中提供任何虚假材料,其响应无效，并报监管部门查处；成交后发现的,处以采购金额千分之五以上千分之十以下的罚款，列入不良行为记录名单，情节严重的，由工商行政管理机关吊销营业执照；构成犯罪的，依法追究刑事责任。</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、供应商不得相互串通谈判报价，不得妨碍其他供应商的公平竞争，不得损害采购人或其他供应商的合法权益，供应商不得以向采购人、谈判小组成员行贿或者采取其他不正当手段谋取成交。</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、谈判响应文件格式中的表格式样可以根据项目差别做适当调整,但应当保持表格样式基本形态不变。</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、单位负责人为同一人或者存在直接控股、管理关系的不同供应商，不得参加同一合同项下的采购活动。</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、本项目不允许分包。</w:t>
      </w:r>
    </w:p>
    <w:p>
      <w:pPr>
        <w:shd w:val="clear"/>
        <w:spacing w:line="360" w:lineRule="auto"/>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二、谈判响应文件</w:t>
      </w:r>
    </w:p>
    <w:p>
      <w:pPr>
        <w:shd w:val="clear"/>
        <w:spacing w:line="360" w:lineRule="auto"/>
        <w:ind w:firstLine="241" w:firstLineChars="100"/>
        <w:jc w:val="both"/>
        <w:rPr>
          <w:rFonts w:hint="eastAsia" w:ascii="宋体" w:hAnsi="宋体" w:eastAsia="宋体" w:cs="宋体"/>
          <w:b/>
          <w:bCs/>
          <w:color w:val="auto"/>
          <w:sz w:val="24"/>
          <w:szCs w:val="32"/>
          <w:highlight w:val="none"/>
          <w:lang w:val="zh-CN" w:eastAsia="zh-CN"/>
        </w:rPr>
      </w:pPr>
      <w:r>
        <w:rPr>
          <w:rFonts w:hint="eastAsia" w:ascii="宋体" w:hAnsi="宋体" w:eastAsia="宋体" w:cs="宋体"/>
          <w:b/>
          <w:bCs/>
          <w:color w:val="auto"/>
          <w:sz w:val="24"/>
          <w:szCs w:val="32"/>
          <w:highlight w:val="none"/>
          <w:lang w:val="zh-CN" w:eastAsia="zh-CN"/>
        </w:rPr>
        <w:t>（一）谈判响应文件的组成</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供应商应仔细阅读谈判采购文件的所有内容，按谈判采购文件的要求，详细编制谈判响应文件。</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1、资格证明内容的组成：</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）谈判声明书；</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）授权委托书（法定代表人亲自办理投标事宜的，则无需提交</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）法人或者其他组织的营业执照等证明文件，自然人的身份证明；</w:t>
      </w:r>
    </w:p>
    <w:p>
      <w:pPr>
        <w:shd w:val="clear" w:color="auto"/>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（4）依法缴纳税收和社会保障资金的承诺；</w:t>
      </w:r>
    </w:p>
    <w:p>
      <w:pPr>
        <w:shd w:val="clear" w:color="auto"/>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（5）具有良好的商业信誉和健全的财务会计制度的承诺；</w:t>
      </w:r>
    </w:p>
    <w:p>
      <w:pPr>
        <w:shd w:val="clear" w:color="auto"/>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（6）参加采购活动前三年内，在经营活动中没有重大违法记录（承诺函）；</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2、商务与技术内容的组成：</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（1）投标人情况介绍（人员与技术力量、企业规模、经营业绩等）。</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C.验收方案（包括项目验收标准和验收方法等）和措施；</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（3）商务及技术响应表。</w:t>
      </w:r>
    </w:p>
    <w:p>
      <w:pPr>
        <w:shd w:val="clea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（5）近三年来类似项目的成功案例（投标人类似项目实施情况一览表、合同复印件及其相应的发票、用户验收报告等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rPr>
        <w:t>（6）</w:t>
      </w:r>
      <w:r>
        <w:rPr>
          <w:rFonts w:hint="eastAsia" w:ascii="宋体" w:hAnsi="宋体" w:cs="宋体"/>
          <w:color w:val="auto"/>
          <w:sz w:val="24"/>
          <w:szCs w:val="24"/>
          <w:highlight w:val="none"/>
        </w:rPr>
        <w:t>供应商认为需要提供的其他资料（包括可能影响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人商务与技术评定的各类证明材料）</w:t>
      </w:r>
      <w:r>
        <w:rPr>
          <w:rFonts w:hint="eastAsia" w:ascii="宋体" w:hAnsi="宋体" w:cs="宋体"/>
          <w:b w:val="0"/>
          <w:bCs w:val="0"/>
          <w:color w:val="auto"/>
          <w:sz w:val="24"/>
          <w:szCs w:val="32"/>
          <w:highlight w:val="none"/>
          <w:lang w:eastAsia="zh-CN"/>
        </w:rPr>
        <w:t>；</w:t>
      </w:r>
    </w:p>
    <w:p>
      <w:pPr>
        <w:shd w:val="clear"/>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（7）售后服务描述及承诺：</w:t>
      </w:r>
    </w:p>
    <w:p>
      <w:pPr>
        <w:shd w:val="clear"/>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B.针对本项目的售后服务措施及承诺（售后技术服务方案、人员配备、故障响应时间、技术培训方案等）。</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3、报价内容的组成</w:t>
      </w:r>
    </w:p>
    <w:p>
      <w:pPr>
        <w:shd w:val="clear"/>
        <w:spacing w:line="360" w:lineRule="auto"/>
        <w:ind w:firstLine="482" w:firstLineChars="200"/>
        <w:jc w:val="both"/>
        <w:rPr>
          <w:color w:val="auto"/>
          <w:highlight w:val="none"/>
        </w:rPr>
      </w:pPr>
      <w:r>
        <w:rPr>
          <w:rFonts w:hint="eastAsia" w:ascii="宋体" w:hAnsi="宋体" w:eastAsia="宋体" w:cs="宋体"/>
          <w:b/>
          <w:bCs/>
          <w:color w:val="auto"/>
          <w:sz w:val="24"/>
          <w:szCs w:val="32"/>
          <w:highlight w:val="none"/>
          <w:lang w:eastAsia="zh-CN"/>
        </w:rPr>
        <w:t>（1）报价内容由首次报价一览表、</w:t>
      </w:r>
      <w:r>
        <w:rPr>
          <w:rFonts w:hint="eastAsia" w:ascii="宋体" w:hAnsi="宋体" w:cs="宋体"/>
          <w:b/>
          <w:bCs/>
          <w:color w:val="auto"/>
          <w:sz w:val="24"/>
          <w:szCs w:val="32"/>
          <w:highlight w:val="none"/>
          <w:lang w:eastAsia="zh-CN"/>
        </w:rPr>
        <w:t>投标</w:t>
      </w:r>
      <w:r>
        <w:rPr>
          <w:rFonts w:hint="eastAsia" w:ascii="宋体" w:hAnsi="宋体" w:eastAsia="宋体" w:cs="宋体"/>
          <w:b/>
          <w:bCs/>
          <w:color w:val="auto"/>
          <w:sz w:val="24"/>
          <w:szCs w:val="32"/>
          <w:highlight w:val="none"/>
          <w:lang w:eastAsia="zh-CN"/>
        </w:rPr>
        <w:t>报价明细表，以及供应商认为其他需要说明的内容组成。</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）此报价为供应商针对本项目报出的唯一的首次报价，包含其它一切所要涉及到的费用，有选择的报价将被拒绝。</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w:t>
      </w:r>
      <w:r>
        <w:rPr>
          <w:rFonts w:hint="eastAsia" w:ascii="宋体" w:hAnsi="宋体"/>
          <w:color w:val="auto"/>
          <w:sz w:val="24"/>
          <w:szCs w:val="24"/>
          <w:highlight w:val="none"/>
          <w:lang w:val="zh-CN"/>
        </w:rPr>
        <w:t>总报价应当包括合同包含的所有风险责任等各项费用及不可预见费等所需的全部费用。</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）相关报价单需打印或用不退色的墨水填写，谈判报价单不得涂改和增删，如有错漏必须修改，修改处须由同一签署人签字或盖章。由于字迹模糊或表达不清引起的后果由供应商负责。</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）报价有关表格应按谈判采购文件中相关附表格式填写。</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（二）谈判响应文件的制作、封装及递交要求</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1、谈判响应文件的制作要求</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（1）谈判人应按照谈判采购文件组成内容及项目采购需求制作谈判响应文件，不按谈判采购文件要求制作谈判响应文件的将视情处理（拒收、扣分等），由此产生的责任由谈判人自行承担。</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（2）谈判人应对所提供的全部资料的真实性承担法律责任，谈判响应</w:t>
      </w:r>
      <w:r>
        <w:rPr>
          <w:rFonts w:hint="eastAsia" w:ascii="宋体" w:hAnsi="宋体" w:eastAsia="宋体" w:cs="宋体"/>
          <w:b w:val="0"/>
          <w:bCs w:val="0"/>
          <w:color w:val="auto"/>
          <w:sz w:val="24"/>
          <w:szCs w:val="32"/>
          <w:highlight w:val="none"/>
          <w:lang w:val="zh-CN" w:eastAsia="zh-CN"/>
        </w:rPr>
        <w:t>文件内容中有要求盖章或签字的地方必须加盖谈判人的公章以及法定代表人或全权代表的盖章或签字。</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eastAsia="宋体" w:cs="宋体"/>
          <w:b w:val="0"/>
          <w:bCs w:val="0"/>
          <w:color w:val="auto"/>
          <w:sz w:val="24"/>
          <w:szCs w:val="32"/>
          <w:highlight w:val="none"/>
          <w:lang w:val="zh-CN" w:eastAsia="zh-CN"/>
        </w:rPr>
        <w:t>）谈判响应</w:t>
      </w:r>
      <w:r>
        <w:rPr>
          <w:rFonts w:hint="eastAsia" w:ascii="宋体" w:hAnsi="宋体" w:eastAsia="宋体" w:cs="宋体"/>
          <w:b w:val="0"/>
          <w:bCs w:val="0"/>
          <w:color w:val="auto"/>
          <w:sz w:val="24"/>
          <w:szCs w:val="32"/>
          <w:highlight w:val="none"/>
          <w:lang w:eastAsia="zh-CN"/>
        </w:rPr>
        <w:t>文件以及谈判供应商与</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就有关谈判响应事宜的所有来往函电，均应以中文汉语书写。除签字、盖章、专用名称等特殊情形外，以中文汉语以外的文字表述的谈判响应文件视同未提供。</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（4）谈判计量单位，谈判采购文件已有明确规定的，使用谈判采购文件规定的计量单位；谈判采购文件没有规定的，应采用中华人民共和国法定计量单位（货币单位：人民币元）。</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（5）若供应商不按谈判采购文件的要求提供资格审查材料，其风险由供应商自行承担。</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（6）与本次谈判无关的内容请不要制作在内，确保谈判采购文件有针对性、简洁明了，同时节约纸张；谈判响应文件建议以A4纸大小双面打印并装订。</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2、谈判响应文件的封装要求</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（1）谈判响应文件份数：谈判响应文件共</w:t>
      </w:r>
      <w:r>
        <w:rPr>
          <w:rFonts w:hint="eastAsia" w:ascii="宋体" w:hAnsi="宋体" w:eastAsia="宋体" w:cs="宋体"/>
          <w:b w:val="0"/>
          <w:bCs w:val="0"/>
          <w:color w:val="auto"/>
          <w:sz w:val="24"/>
          <w:szCs w:val="32"/>
          <w:highlight w:val="none"/>
          <w:u w:val="single"/>
          <w:lang w:val="en-US" w:eastAsia="zh-CN"/>
        </w:rPr>
        <w:t xml:space="preserve"> 3 </w:t>
      </w:r>
      <w:r>
        <w:rPr>
          <w:rFonts w:hint="eastAsia" w:ascii="宋体" w:hAnsi="宋体" w:eastAsia="宋体" w:cs="宋体"/>
          <w:b w:val="0"/>
          <w:bCs w:val="0"/>
          <w:color w:val="auto"/>
          <w:sz w:val="24"/>
          <w:szCs w:val="32"/>
          <w:highlight w:val="none"/>
          <w:lang w:val="zh-CN" w:eastAsia="zh-CN"/>
        </w:rPr>
        <w:t>份（</w:t>
      </w:r>
      <w:r>
        <w:rPr>
          <w:rFonts w:hint="eastAsia" w:ascii="宋体" w:hAnsi="宋体" w:eastAsia="宋体" w:cs="宋体"/>
          <w:b w:val="0"/>
          <w:bCs w:val="0"/>
          <w:color w:val="auto"/>
          <w:sz w:val="24"/>
          <w:szCs w:val="32"/>
          <w:highlight w:val="none"/>
          <w:lang w:eastAsia="zh-CN"/>
        </w:rPr>
        <w:t>正本</w:t>
      </w:r>
      <w:r>
        <w:rPr>
          <w:rFonts w:hint="eastAsia" w:ascii="宋体" w:hAnsi="宋体" w:eastAsia="宋体" w:cs="宋体"/>
          <w:b w:val="0"/>
          <w:bCs w:val="0"/>
          <w:color w:val="auto"/>
          <w:sz w:val="24"/>
          <w:szCs w:val="32"/>
          <w:highlight w:val="none"/>
          <w:u w:val="single"/>
          <w:lang w:val="en-US" w:eastAsia="zh-CN"/>
        </w:rPr>
        <w:t xml:space="preserve"> 1 </w:t>
      </w:r>
      <w:r>
        <w:rPr>
          <w:rFonts w:hint="eastAsia" w:ascii="宋体" w:hAnsi="宋体" w:eastAsia="宋体" w:cs="宋体"/>
          <w:b w:val="0"/>
          <w:bCs w:val="0"/>
          <w:color w:val="auto"/>
          <w:sz w:val="24"/>
          <w:szCs w:val="32"/>
          <w:highlight w:val="none"/>
          <w:lang w:eastAsia="zh-CN"/>
        </w:rPr>
        <w:t>份、副本</w:t>
      </w:r>
      <w:r>
        <w:rPr>
          <w:rFonts w:hint="eastAsia" w:ascii="宋体" w:hAnsi="宋体" w:eastAsia="宋体" w:cs="宋体"/>
          <w:b w:val="0"/>
          <w:bCs w:val="0"/>
          <w:color w:val="auto"/>
          <w:sz w:val="24"/>
          <w:szCs w:val="32"/>
          <w:highlight w:val="none"/>
          <w:u w:val="single"/>
          <w:lang w:val="en-US" w:eastAsia="zh-CN"/>
        </w:rPr>
        <w:t xml:space="preserve"> 2 </w:t>
      </w:r>
      <w:r>
        <w:rPr>
          <w:rFonts w:hint="eastAsia" w:ascii="宋体" w:hAnsi="宋体" w:eastAsia="宋体" w:cs="宋体"/>
          <w:b w:val="0"/>
          <w:bCs w:val="0"/>
          <w:color w:val="auto"/>
          <w:sz w:val="24"/>
          <w:szCs w:val="32"/>
          <w:highlight w:val="none"/>
          <w:lang w:eastAsia="zh-CN"/>
        </w:rPr>
        <w:t>份，封装成一袋）。谈判响应文件的正本封面必须注明“正本”字样，副本可以采用正本的复印件。如有不同标段，请按标段号分别装订，密封要求同上。</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（2）所有谈判响应资料按谈判采购文件的组成所列内容及顺序装订成册，</w:t>
      </w:r>
      <w:r>
        <w:rPr>
          <w:rFonts w:hint="eastAsia" w:ascii="宋体" w:hAnsi="宋体" w:eastAsia="宋体" w:cs="宋体"/>
          <w:b w:val="0"/>
          <w:bCs w:val="0"/>
          <w:color w:val="auto"/>
          <w:sz w:val="24"/>
          <w:szCs w:val="32"/>
          <w:highlight w:val="none"/>
          <w:lang w:val="zh-CN" w:eastAsia="zh-CN"/>
        </w:rPr>
        <w:t>并逐页连续标注页码。因谈判响应文件内容不完整、编排混乱导致谈判响应文件被误读、漏读或者查找不到相关内容的责任由</w:t>
      </w:r>
      <w:r>
        <w:rPr>
          <w:rFonts w:hint="eastAsia" w:ascii="宋体" w:hAnsi="宋体" w:eastAsia="宋体" w:cs="宋体"/>
          <w:b w:val="0"/>
          <w:bCs w:val="0"/>
          <w:color w:val="auto"/>
          <w:sz w:val="24"/>
          <w:szCs w:val="32"/>
          <w:highlight w:val="none"/>
          <w:lang w:eastAsia="zh-CN"/>
        </w:rPr>
        <w:t>供应商</w:t>
      </w:r>
      <w:r>
        <w:rPr>
          <w:rFonts w:hint="eastAsia" w:ascii="宋体" w:hAnsi="宋体" w:eastAsia="宋体" w:cs="宋体"/>
          <w:b w:val="0"/>
          <w:bCs w:val="0"/>
          <w:color w:val="auto"/>
          <w:sz w:val="24"/>
          <w:szCs w:val="32"/>
          <w:highlight w:val="none"/>
          <w:lang w:val="zh-CN" w:eastAsia="zh-CN"/>
        </w:rPr>
        <w:t>自行承担。</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请在密封袋的封口处应有谈判单位公章或谈判全权代表签字。封皮上写明项目编号、标段、谈判响应项目名称、供应商名称，并注明“谈判响应文件名称”、“谈判时启封”字样，未按上述要求密封及加写标记，</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对谈判响应文件的误投和提前启封不负责任。</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（4）项目如分标段，各标段谈判响应文件必须分开编制，并按上述份数要求单独密封包装。</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（5）</w:t>
      </w:r>
      <w:r>
        <w:rPr>
          <w:rFonts w:hint="eastAsia" w:ascii="宋体" w:hAnsi="宋体" w:eastAsia="宋体" w:cs="宋体"/>
          <w:b w:val="0"/>
          <w:bCs w:val="0"/>
          <w:color w:val="auto"/>
          <w:sz w:val="24"/>
          <w:szCs w:val="32"/>
          <w:highlight w:val="none"/>
          <w:lang w:val="zh-CN" w:eastAsia="zh-CN"/>
        </w:rPr>
        <w:t>因密封不严、标记不明而造成失密、拒收、过早启封等情况，</w:t>
      </w:r>
      <w:r>
        <w:rPr>
          <w:rFonts w:hint="eastAsia" w:ascii="宋体" w:hAnsi="宋体" w:eastAsia="宋体" w:cs="宋体"/>
          <w:b w:val="0"/>
          <w:bCs w:val="0"/>
          <w:color w:val="auto"/>
          <w:sz w:val="24"/>
          <w:szCs w:val="32"/>
          <w:highlight w:val="none"/>
          <w:lang w:eastAsia="zh-CN"/>
        </w:rPr>
        <w:t>采购文件</w:t>
      </w:r>
      <w:r>
        <w:rPr>
          <w:rFonts w:hint="eastAsia" w:ascii="宋体" w:hAnsi="宋体" w:eastAsia="宋体" w:cs="宋体"/>
          <w:b w:val="0"/>
          <w:bCs w:val="0"/>
          <w:color w:val="auto"/>
          <w:sz w:val="24"/>
          <w:szCs w:val="32"/>
          <w:highlight w:val="none"/>
          <w:lang w:val="zh-CN" w:eastAsia="zh-CN"/>
        </w:rPr>
        <w:t>概不负责。</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3、谈判响应文件的递交要求</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（1）谈判响应文件必须在规定时间前递交至指定的谈判地点。谈判响应文件在截止时间后递交，</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将拒绝接收。</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（2）如有特殊情况，</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延长截止时间和谈判时间，</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和供应商的权利和义务将受到新的截止时间和谈判时间的约束。</w:t>
      </w:r>
    </w:p>
    <w:p>
      <w:pPr>
        <w:shd w:val="clear"/>
        <w:spacing w:line="360" w:lineRule="auto"/>
        <w:ind w:firstLine="482" w:firstLineChars="2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4、谈判响应文件的补充、修改和撤回</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（1）供应商如需对上交的谈判响应文件进行补充、修改或撤回的，必须在谈判响应截止时间以前将书面的修改文件或撤消通知递交</w:t>
      </w:r>
      <w:r>
        <w:rPr>
          <w:rFonts w:hint="eastAsia" w:ascii="宋体" w:hAnsi="宋体" w:cs="宋体"/>
          <w:b w:val="0"/>
          <w:bCs w:val="0"/>
          <w:color w:val="auto"/>
          <w:sz w:val="24"/>
          <w:szCs w:val="32"/>
          <w:highlight w:val="none"/>
          <w:lang w:eastAsia="zh-CN"/>
        </w:rPr>
        <w:t>采购人</w:t>
      </w:r>
      <w:r>
        <w:rPr>
          <w:rFonts w:hint="eastAsia" w:ascii="宋体" w:hAnsi="宋体" w:eastAsia="宋体" w:cs="宋体"/>
          <w:b w:val="0"/>
          <w:bCs w:val="0"/>
          <w:color w:val="auto"/>
          <w:sz w:val="24"/>
          <w:szCs w:val="32"/>
          <w:highlight w:val="none"/>
          <w:lang w:eastAsia="zh-CN"/>
        </w:rPr>
        <w:t>。</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（2）谈判修改文件必须密封，在密封袋上写明项目编号、标段、谈判项目名称、供应商名称、并注明“修改文件”、“谈判时启封”字样，其作为谈判响应文件的组成部份。</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（三）谈判响应文件的有效期</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GB" w:eastAsia="zh-CN"/>
        </w:rPr>
        <w:t>自谈判响应截止日起90天谈判响应文件应保持有效。有效期不足的</w:t>
      </w:r>
      <w:r>
        <w:rPr>
          <w:rFonts w:hint="eastAsia" w:ascii="宋体" w:hAnsi="宋体" w:eastAsia="宋体" w:cs="宋体"/>
          <w:b w:val="0"/>
          <w:bCs w:val="0"/>
          <w:color w:val="auto"/>
          <w:sz w:val="24"/>
          <w:szCs w:val="32"/>
          <w:highlight w:val="none"/>
          <w:lang w:eastAsia="zh-CN"/>
        </w:rPr>
        <w:t>谈判响应</w:t>
      </w:r>
      <w:r>
        <w:rPr>
          <w:rFonts w:hint="eastAsia" w:ascii="宋体" w:hAnsi="宋体" w:eastAsia="宋体" w:cs="宋体"/>
          <w:b w:val="0"/>
          <w:bCs w:val="0"/>
          <w:color w:val="auto"/>
          <w:sz w:val="24"/>
          <w:szCs w:val="32"/>
          <w:highlight w:val="none"/>
          <w:lang w:val="en-GB" w:eastAsia="zh-CN"/>
        </w:rPr>
        <w:t>文件将被拒绝。</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GB" w:eastAsia="zh-CN"/>
        </w:rPr>
        <w:t>在特殊情况下，采购人可与</w:t>
      </w:r>
      <w:r>
        <w:rPr>
          <w:rFonts w:hint="eastAsia" w:ascii="宋体" w:hAnsi="宋体" w:eastAsia="宋体" w:cs="宋体"/>
          <w:b w:val="0"/>
          <w:bCs w:val="0"/>
          <w:color w:val="auto"/>
          <w:sz w:val="24"/>
          <w:szCs w:val="32"/>
          <w:highlight w:val="none"/>
          <w:lang w:eastAsia="zh-CN"/>
        </w:rPr>
        <w:t>供应商</w:t>
      </w:r>
      <w:r>
        <w:rPr>
          <w:rFonts w:hint="eastAsia" w:ascii="宋体" w:hAnsi="宋体" w:eastAsia="宋体" w:cs="宋体"/>
          <w:b w:val="0"/>
          <w:bCs w:val="0"/>
          <w:color w:val="auto"/>
          <w:sz w:val="24"/>
          <w:szCs w:val="32"/>
          <w:highlight w:val="none"/>
          <w:lang w:val="en-GB" w:eastAsia="zh-CN"/>
        </w:rPr>
        <w:t>协商延长谈判响应文件的有效期，这种要求和答复均以书面形式进行。</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3.供应商</w:t>
      </w:r>
      <w:r>
        <w:rPr>
          <w:rFonts w:hint="eastAsia" w:ascii="宋体" w:hAnsi="宋体" w:eastAsia="宋体" w:cs="宋体"/>
          <w:b w:val="0"/>
          <w:bCs w:val="0"/>
          <w:color w:val="auto"/>
          <w:sz w:val="24"/>
          <w:szCs w:val="32"/>
          <w:highlight w:val="none"/>
          <w:lang w:val="en-GB" w:eastAsia="zh-CN"/>
        </w:rPr>
        <w:t>可拒绝接受延期要求。同意延长有效期的</w:t>
      </w:r>
      <w:r>
        <w:rPr>
          <w:rFonts w:hint="eastAsia" w:ascii="宋体" w:hAnsi="宋体" w:eastAsia="宋体" w:cs="宋体"/>
          <w:b w:val="0"/>
          <w:bCs w:val="0"/>
          <w:color w:val="auto"/>
          <w:sz w:val="24"/>
          <w:szCs w:val="32"/>
          <w:highlight w:val="none"/>
          <w:lang w:eastAsia="zh-CN"/>
        </w:rPr>
        <w:t>供应商不能修改谈判响应文件。</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4.成交供应商的谈判响应文件自谈判之日起至合同履行完毕均应保持有效。</w:t>
      </w:r>
    </w:p>
    <w:p>
      <w:pPr>
        <w:shd w:val="clear"/>
        <w:spacing w:line="360" w:lineRule="auto"/>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三、供应商有下列情形之一的，取消投标资格：</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（1）供应商在截止时间后至谈判响应有效期内无故撤回谈判响应文件或放弃成交资格的；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（2）供应商在谈判过程中弄虚作假，提供虚假材料的；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（3）除因不可抗力或谈判采购文件认可的情形以外，成交供应商不与采购人签订合同或拒绝履行合同义务的；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（4）供应商与采购人、其他供应商或者</w:t>
      </w:r>
      <w:r>
        <w:rPr>
          <w:rFonts w:hint="eastAsia" w:ascii="宋体" w:hAnsi="宋体" w:cs="宋体"/>
          <w:b w:val="0"/>
          <w:bCs w:val="0"/>
          <w:color w:val="auto"/>
          <w:sz w:val="24"/>
          <w:szCs w:val="32"/>
          <w:highlight w:val="none"/>
          <w:lang w:val="en-GB" w:eastAsia="zh-CN"/>
        </w:rPr>
        <w:t>采购人</w:t>
      </w:r>
      <w:r>
        <w:rPr>
          <w:rFonts w:hint="eastAsia" w:ascii="宋体" w:hAnsi="宋体" w:eastAsia="宋体" w:cs="宋体"/>
          <w:b w:val="0"/>
          <w:bCs w:val="0"/>
          <w:color w:val="auto"/>
          <w:sz w:val="24"/>
          <w:szCs w:val="32"/>
          <w:highlight w:val="none"/>
          <w:lang w:val="en-GB" w:eastAsia="zh-CN"/>
        </w:rPr>
        <w:t>恶意串通的；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（5）与采购人另行订立背离合同实质性内容的协议的；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（6）法律、法规明确规定的其他行为。</w:t>
      </w:r>
    </w:p>
    <w:p>
      <w:pPr>
        <w:shd w:val="clear"/>
        <w:spacing w:line="360" w:lineRule="auto"/>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四、谈判</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 xml:space="preserve"> （一）谈判程序</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1.采购</w:t>
      </w:r>
      <w:r>
        <w:rPr>
          <w:rFonts w:hint="eastAsia" w:ascii="宋体" w:hAnsi="宋体" w:cs="宋体"/>
          <w:b w:val="0"/>
          <w:bCs w:val="0"/>
          <w:color w:val="auto"/>
          <w:sz w:val="24"/>
          <w:szCs w:val="32"/>
          <w:highlight w:val="none"/>
          <w:lang w:val="en-US" w:eastAsia="zh-CN"/>
        </w:rPr>
        <w:t>人</w:t>
      </w:r>
      <w:r>
        <w:rPr>
          <w:rFonts w:hint="eastAsia" w:ascii="宋体" w:hAnsi="宋体" w:eastAsia="宋体" w:cs="宋体"/>
          <w:b w:val="0"/>
          <w:bCs w:val="0"/>
          <w:color w:val="auto"/>
          <w:sz w:val="24"/>
          <w:szCs w:val="32"/>
          <w:highlight w:val="none"/>
          <w:lang w:val="en-US" w:eastAsia="zh-CN"/>
        </w:rPr>
        <w:t>在“谈判公告”规定的时间和地点组织谈判，谈判采购会议由采购</w:t>
      </w:r>
      <w:r>
        <w:rPr>
          <w:rFonts w:hint="eastAsia" w:ascii="宋体" w:hAnsi="宋体" w:cs="宋体"/>
          <w:b w:val="0"/>
          <w:bCs w:val="0"/>
          <w:color w:val="auto"/>
          <w:sz w:val="24"/>
          <w:szCs w:val="32"/>
          <w:highlight w:val="none"/>
          <w:lang w:val="en-US" w:eastAsia="zh-CN"/>
        </w:rPr>
        <w:t>人</w:t>
      </w:r>
      <w:r>
        <w:rPr>
          <w:rFonts w:hint="eastAsia" w:ascii="宋体" w:hAnsi="宋体" w:eastAsia="宋体" w:cs="宋体"/>
          <w:b w:val="0"/>
          <w:bCs w:val="0"/>
          <w:color w:val="auto"/>
          <w:sz w:val="24"/>
          <w:szCs w:val="32"/>
          <w:highlight w:val="none"/>
          <w:lang w:val="en-US" w:eastAsia="zh-CN"/>
        </w:rPr>
        <w:t>工作人员主持，所有供应商均应准时参加谈判采购会议。</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2.采购</w:t>
      </w:r>
      <w:r>
        <w:rPr>
          <w:rFonts w:hint="eastAsia" w:ascii="宋体" w:hAnsi="宋体" w:cs="宋体"/>
          <w:b w:val="0"/>
          <w:bCs w:val="0"/>
          <w:color w:val="auto"/>
          <w:sz w:val="24"/>
          <w:szCs w:val="32"/>
          <w:highlight w:val="none"/>
          <w:lang w:val="en-US" w:eastAsia="zh-CN"/>
        </w:rPr>
        <w:t>人</w:t>
      </w:r>
      <w:r>
        <w:rPr>
          <w:rFonts w:hint="eastAsia" w:ascii="宋体" w:hAnsi="宋体" w:eastAsia="宋体" w:cs="宋体"/>
          <w:b w:val="0"/>
          <w:bCs w:val="0"/>
          <w:color w:val="auto"/>
          <w:sz w:val="24"/>
          <w:szCs w:val="32"/>
          <w:highlight w:val="none"/>
          <w:lang w:val="en-GB" w:eastAsia="zh-CN"/>
        </w:rPr>
        <w:t>工作人员应当</w:t>
      </w:r>
      <w:r>
        <w:rPr>
          <w:rFonts w:hint="eastAsia" w:ascii="宋体" w:hAnsi="宋体" w:eastAsia="宋体" w:cs="宋体"/>
          <w:b w:val="0"/>
          <w:bCs w:val="0"/>
          <w:color w:val="auto"/>
          <w:sz w:val="24"/>
          <w:szCs w:val="32"/>
          <w:highlight w:val="none"/>
          <w:lang w:val="en-US" w:eastAsia="zh-CN"/>
        </w:rPr>
        <w:t>核验出席谈判活动现场的各供应商代表及相关单位人员身份，并组织其分别登记、签到，无关人员可拒绝其进入现场。</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3.采购</w:t>
      </w:r>
      <w:r>
        <w:rPr>
          <w:rFonts w:hint="eastAsia" w:ascii="宋体" w:hAnsi="宋体" w:cs="宋体"/>
          <w:b w:val="0"/>
          <w:bCs w:val="0"/>
          <w:color w:val="auto"/>
          <w:sz w:val="24"/>
          <w:szCs w:val="32"/>
          <w:highlight w:val="none"/>
          <w:lang w:val="en-US" w:eastAsia="zh-CN"/>
        </w:rPr>
        <w:t>人</w:t>
      </w:r>
      <w:r>
        <w:rPr>
          <w:rFonts w:hint="eastAsia" w:ascii="宋体" w:hAnsi="宋体" w:eastAsia="宋体" w:cs="宋体"/>
          <w:b w:val="0"/>
          <w:bCs w:val="0"/>
          <w:color w:val="auto"/>
          <w:sz w:val="24"/>
          <w:szCs w:val="32"/>
          <w:highlight w:val="none"/>
          <w:lang w:val="en-US" w:eastAsia="zh-CN"/>
        </w:rPr>
        <w:t>工作人员接收谈判响应文件并登记，并由供应商代表对递交记录情况进行签字确认。</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4.主持人宣布谈判采购会议开始，介绍谈判现场的人员情况，宣读提交谈判响应文件的供应商名单、谈判纪律、应当回避的情形等注意事项，组织供应商签署不存在影响公平竞争的《采购活动现场确认声明书》。</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GB" w:eastAsia="zh-CN"/>
        </w:rPr>
        <w:t>主持人按供应商签到的先后顺序当场拆封谈判响应文件，并送至评审室；</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GB" w:eastAsia="zh-CN"/>
        </w:rPr>
        <w:t>谈判小组对符合资格的供应商的谈判响应文件进行符合性审查，以确定其是否满足谈判采购文件的实质性要求。</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GB" w:eastAsia="zh-CN"/>
        </w:rPr>
        <w:t>谈判小组对响应文件进行评审，并根据谈判采购文件规定的程序、评定成交的标准等事项与实质性响应谈判采购文件要求的供应商进行谈判。未实质性响应谈判采购文件的响应文件按无效处理；</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GB" w:eastAsia="zh-CN"/>
        </w:rPr>
        <w:t>谈判小组所有成员集中与单一供应商分别进行谈判。所有参加谈判的供应商均有</w:t>
      </w:r>
      <w:r>
        <w:rPr>
          <w:rFonts w:hint="eastAsia" w:ascii="宋体" w:hAnsi="宋体" w:eastAsia="宋体" w:cs="宋体"/>
          <w:b/>
          <w:bCs/>
          <w:color w:val="auto"/>
          <w:sz w:val="24"/>
          <w:szCs w:val="32"/>
          <w:highlight w:val="none"/>
          <w:u w:val="single"/>
          <w:lang w:val="en-US" w:eastAsia="zh-CN"/>
        </w:rPr>
        <w:t xml:space="preserve"> 1 </w:t>
      </w:r>
      <w:r>
        <w:rPr>
          <w:rFonts w:hint="eastAsia" w:ascii="宋体" w:hAnsi="宋体" w:eastAsia="宋体" w:cs="宋体"/>
          <w:b w:val="0"/>
          <w:bCs w:val="0"/>
          <w:color w:val="auto"/>
          <w:sz w:val="24"/>
          <w:szCs w:val="32"/>
          <w:highlight w:val="none"/>
          <w:lang w:val="en-GB" w:eastAsia="zh-CN"/>
        </w:rPr>
        <w:t>轮谈判机会。供应商应由法人代表或法人代表授权的人进行。供应商所作的重要答复均应以书面形式，并经法定代表人或授权人签署，作为谈判采购文件的一部分，对谈判供应商有约束力，但不得对内容进行实质性修改。在谈判中，谈判的任何一方不得透露与谈判有关的其他供应商的技术资料、价格和其他信息；</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0.</w:t>
      </w:r>
      <w:r>
        <w:rPr>
          <w:rFonts w:hint="eastAsia" w:ascii="宋体" w:hAnsi="宋体" w:eastAsia="宋体" w:cs="宋体"/>
          <w:b w:val="0"/>
          <w:bCs w:val="0"/>
          <w:color w:val="auto"/>
          <w:sz w:val="24"/>
          <w:szCs w:val="32"/>
          <w:highlight w:val="none"/>
          <w:lang w:val="en-GB" w:eastAsia="zh-CN"/>
        </w:rPr>
        <w:t>在谈判过程中，谈判小组可以根据谈判采购文件和谈判情况实质性变动采购需求中的技术、服务要求以及合同草案条款，但不得变动谈判采购文件中的其他内容。实质性变动的内容，经采购人代表确认后，将以书面形式通知所有参加谈判的供应商；</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GB" w:eastAsia="zh-CN"/>
        </w:rPr>
        <w:t>谈判结束后，谈判小组将要求所有继续参加谈判的供应商在规定时间内提交最后报价，超过规定时间提交的报价作无效处理；</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GB" w:eastAsia="zh-CN"/>
        </w:rPr>
        <w:t>谈判小组编写评审报告；</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3.</w:t>
      </w:r>
      <w:r>
        <w:rPr>
          <w:rFonts w:hint="eastAsia" w:ascii="宋体" w:hAnsi="宋体" w:cs="宋体"/>
          <w:b w:val="0"/>
          <w:bCs w:val="0"/>
          <w:color w:val="auto"/>
          <w:sz w:val="24"/>
          <w:szCs w:val="32"/>
          <w:highlight w:val="none"/>
          <w:lang w:val="en-GB" w:eastAsia="zh-CN"/>
        </w:rPr>
        <w:t>采购人</w:t>
      </w:r>
      <w:r>
        <w:rPr>
          <w:rFonts w:hint="eastAsia" w:ascii="宋体" w:hAnsi="宋体" w:eastAsia="宋体" w:cs="宋体"/>
          <w:b w:val="0"/>
          <w:bCs w:val="0"/>
          <w:color w:val="auto"/>
          <w:sz w:val="24"/>
          <w:szCs w:val="32"/>
          <w:highlight w:val="none"/>
          <w:lang w:val="en-GB" w:eastAsia="zh-CN"/>
        </w:rPr>
        <w:t>对谈判小组专家成员进行评价；</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GB" w:eastAsia="zh-CN"/>
        </w:rPr>
        <w:t>宣布谈判结果，谈判采购会议结束。</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（二）澄清问题的形式</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谈判人的澄清、说明或者补正应当采用书面形式，并加盖公章，或者由法定代理人或其授权的代表签字，并不得超出谈判响应文件的范围或者改变谈判响应文件的实质性内容。</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（三）错误修正</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谈判响应文件报价出现前后不一致的，除谈判采购文件另有规定外，按照下列规定修正：</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谈判响应文件中首次报价一览表内容与谈判响应文件中相应内容不一致的，以首次报价一览表为准；</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大写金额和小写金额不一致的，以大写金额为准；</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3</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单价金额小数点或者百分比有明显错位的，以首次报价一览表的总价为准，并修改单价；</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4</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总价金额与按单价汇总金额不一致的，以单价金额计算结果为准。</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（四）供应商存在下列情况之一的，响应无效，终止谈判：</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谈判响应文件中报价的货物跟商务与技术内容中的供应货物出现重大偏差的。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GB" w:eastAsia="zh-CN"/>
        </w:rPr>
        <w:t>不具备</w:t>
      </w:r>
      <w:r>
        <w:rPr>
          <w:rFonts w:hint="eastAsia" w:ascii="宋体" w:hAnsi="宋体" w:cs="宋体"/>
          <w:b w:val="0"/>
          <w:bCs w:val="0"/>
          <w:color w:val="auto"/>
          <w:sz w:val="24"/>
          <w:szCs w:val="32"/>
          <w:highlight w:val="none"/>
          <w:lang w:val="en-GB" w:eastAsia="zh-CN"/>
        </w:rPr>
        <w:t>谈判文件</w:t>
      </w:r>
      <w:r>
        <w:rPr>
          <w:rFonts w:hint="eastAsia" w:ascii="宋体" w:hAnsi="宋体" w:eastAsia="宋体" w:cs="宋体"/>
          <w:b w:val="0"/>
          <w:bCs w:val="0"/>
          <w:color w:val="auto"/>
          <w:sz w:val="24"/>
          <w:szCs w:val="32"/>
          <w:highlight w:val="none"/>
          <w:lang w:val="en-GB" w:eastAsia="zh-CN"/>
        </w:rPr>
        <w:t>中规定的资格要求的。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GB" w:eastAsia="zh-CN"/>
        </w:rPr>
        <w:t>谈判响应文件含有采购人不能接受的附加条件的。</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4.谈判代表人</w:t>
      </w:r>
      <w:r>
        <w:rPr>
          <w:rFonts w:hint="eastAsia" w:ascii="宋体" w:hAnsi="宋体" w:eastAsia="宋体" w:cs="宋体"/>
          <w:b w:val="0"/>
          <w:bCs w:val="0"/>
          <w:color w:val="auto"/>
          <w:sz w:val="24"/>
          <w:szCs w:val="32"/>
          <w:highlight w:val="none"/>
          <w:lang w:val="en-GB" w:eastAsia="zh-CN"/>
        </w:rPr>
        <w:t>未能出具身份证明或与法定代表人授权委托</w:t>
      </w:r>
      <w:r>
        <w:rPr>
          <w:rFonts w:hint="eastAsia" w:ascii="宋体" w:hAnsi="宋体" w:cs="宋体"/>
          <w:b w:val="0"/>
          <w:bCs w:val="0"/>
          <w:color w:val="auto"/>
          <w:sz w:val="24"/>
          <w:szCs w:val="32"/>
          <w:highlight w:val="none"/>
          <w:lang w:val="en-US" w:eastAsia="zh-CN"/>
        </w:rPr>
        <w:t>代理</w:t>
      </w:r>
      <w:r>
        <w:rPr>
          <w:rFonts w:hint="eastAsia" w:ascii="宋体" w:hAnsi="宋体" w:eastAsia="宋体" w:cs="宋体"/>
          <w:b w:val="0"/>
          <w:bCs w:val="0"/>
          <w:color w:val="auto"/>
          <w:sz w:val="24"/>
          <w:szCs w:val="32"/>
          <w:highlight w:val="none"/>
          <w:lang w:val="en-GB" w:eastAsia="zh-CN"/>
        </w:rPr>
        <w:t>人身份不符的；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GB" w:eastAsia="zh-CN"/>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GB" w:eastAsia="zh-CN"/>
        </w:rPr>
        <w:t>.报价超过</w:t>
      </w:r>
      <w:r>
        <w:rPr>
          <w:rFonts w:hint="eastAsia" w:ascii="宋体" w:hAnsi="宋体" w:cs="宋体"/>
          <w:b w:val="0"/>
          <w:bCs w:val="0"/>
          <w:color w:val="auto"/>
          <w:sz w:val="24"/>
          <w:szCs w:val="32"/>
          <w:highlight w:val="none"/>
          <w:lang w:val="en-GB" w:eastAsia="zh-CN"/>
        </w:rPr>
        <w:t>谈判文件</w:t>
      </w:r>
      <w:r>
        <w:rPr>
          <w:rFonts w:hint="eastAsia" w:ascii="宋体" w:hAnsi="宋体" w:eastAsia="宋体" w:cs="宋体"/>
          <w:b w:val="0"/>
          <w:bCs w:val="0"/>
          <w:color w:val="auto"/>
          <w:sz w:val="24"/>
          <w:szCs w:val="32"/>
          <w:highlight w:val="none"/>
          <w:lang w:val="en-GB" w:eastAsia="zh-CN"/>
        </w:rPr>
        <w:t>中规定的预算金额</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最高限价。</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GB" w:eastAsia="zh-CN"/>
        </w:rPr>
        <w:t>.谈判响应参数未如实填写。</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GB" w:eastAsia="zh-CN"/>
        </w:rPr>
        <w:t>.谈判响应文件提供虚假材料的。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cs="宋体"/>
          <w:b w:val="0"/>
          <w:bCs w:val="0"/>
          <w:color w:val="auto"/>
          <w:sz w:val="24"/>
          <w:szCs w:val="32"/>
          <w:highlight w:val="none"/>
          <w:lang w:val="en-US" w:eastAsia="zh-CN"/>
        </w:rPr>
        <w:t>9</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不同供应商的谈判响应文件由同一单位或者个人编制。</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cs="宋体"/>
          <w:b w:val="0"/>
          <w:bCs w:val="0"/>
          <w:color w:val="auto"/>
          <w:sz w:val="24"/>
          <w:szCs w:val="32"/>
          <w:highlight w:val="none"/>
          <w:lang w:val="en-US" w:eastAsia="zh-CN"/>
        </w:rPr>
        <w:t>0</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不同供应商委托同一单位或者个人办理谈判事宜。</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不同供应商的谈判响应文件载明的项目管理成员或者联系人员为同一人。</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cs="宋体"/>
          <w:b w:val="0"/>
          <w:bCs w:val="0"/>
          <w:color w:val="auto"/>
          <w:sz w:val="24"/>
          <w:szCs w:val="32"/>
          <w:highlight w:val="none"/>
          <w:lang w:val="en-US" w:eastAsia="zh-CN"/>
        </w:rPr>
        <w:t>12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en-GB" w:eastAsia="zh-CN"/>
        </w:rPr>
        <w:t>不同供应商的谈判响应文件异常一致或者报价呈规律性差异。</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.不同供应商的谈判响应文件相互混装。</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.不</w:t>
      </w:r>
      <w:r>
        <w:rPr>
          <w:rFonts w:hint="eastAsia" w:ascii="宋体" w:hAnsi="宋体" w:eastAsia="宋体" w:cs="宋体"/>
          <w:b w:val="0"/>
          <w:bCs w:val="0"/>
          <w:color w:val="auto"/>
          <w:sz w:val="24"/>
          <w:szCs w:val="32"/>
          <w:highlight w:val="none"/>
          <w:lang w:val="en-GB" w:eastAsia="zh-CN"/>
        </w:rPr>
        <w:t>符合法律、法规和</w:t>
      </w:r>
      <w:r>
        <w:rPr>
          <w:rFonts w:hint="eastAsia" w:ascii="宋体" w:hAnsi="宋体" w:cs="宋体"/>
          <w:b w:val="0"/>
          <w:bCs w:val="0"/>
          <w:color w:val="auto"/>
          <w:sz w:val="24"/>
          <w:szCs w:val="32"/>
          <w:highlight w:val="none"/>
          <w:lang w:val="en-GB" w:eastAsia="zh-CN"/>
        </w:rPr>
        <w:t>谈判文件</w:t>
      </w:r>
      <w:r>
        <w:rPr>
          <w:rFonts w:hint="eastAsia" w:ascii="宋体" w:hAnsi="宋体" w:eastAsia="宋体" w:cs="宋体"/>
          <w:b w:val="0"/>
          <w:bCs w:val="0"/>
          <w:color w:val="auto"/>
          <w:sz w:val="24"/>
          <w:szCs w:val="32"/>
          <w:highlight w:val="none"/>
          <w:lang w:val="en-GB" w:eastAsia="zh-CN"/>
        </w:rPr>
        <w:t>中规定的其他实质性要求的（</w:t>
      </w:r>
      <w:r>
        <w:rPr>
          <w:rFonts w:hint="eastAsia" w:ascii="宋体" w:hAnsi="宋体" w:cs="宋体"/>
          <w:b w:val="0"/>
          <w:bCs w:val="0"/>
          <w:color w:val="auto"/>
          <w:sz w:val="24"/>
          <w:szCs w:val="32"/>
          <w:highlight w:val="none"/>
          <w:lang w:val="en-GB" w:eastAsia="zh-CN"/>
        </w:rPr>
        <w:t>谈判文件</w:t>
      </w:r>
      <w:r>
        <w:rPr>
          <w:rFonts w:hint="eastAsia" w:ascii="宋体" w:hAnsi="宋体" w:eastAsia="宋体" w:cs="宋体"/>
          <w:b w:val="0"/>
          <w:bCs w:val="0"/>
          <w:color w:val="auto"/>
          <w:sz w:val="24"/>
          <w:szCs w:val="32"/>
          <w:highlight w:val="none"/>
          <w:lang w:val="en-GB" w:eastAsia="zh-CN"/>
        </w:rPr>
        <w:t>中打“▲”内容及被拒绝的条款）。</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（五）有下列情况之一的，本次谈判终止：</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1.出现影响采购公正的违法、违规行为的；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2.谈判小组发现谈判采购文件存在歧义、重大缺陷导致谈判工作无法进行，或者谈判采购文件内容违反国家有关强制性规定的；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3.因重大变故，采购任务取消的；</w:t>
      </w:r>
    </w:p>
    <w:p>
      <w:p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4.法律、法规和谈判采购文件规定的其他导致谈判结果无效的。</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（六）谈判原则和办法</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1、谈判原则。</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谈判小组必须公平、公正、客观，不带任何倾向性和启发性；不得向外界透露任何与评审有关的内容；任何单位和个人不得干扰、影响评审的正常进行；评审委员会及有关工作人员不得私下与供应商接触。</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GB" w:eastAsia="zh-CN"/>
        </w:rPr>
        <w:t>谈判办法：</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GB" w:eastAsia="zh-CN"/>
        </w:rPr>
        <w:t>谈判小组应当从质量和服务均能满足谈判采购文件实质性响应要求的供应商中，按照报价由低到高的顺序确定成交候选人。</w:t>
      </w:r>
    </w:p>
    <w:p>
      <w:p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w:t>
      </w: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GB" w:eastAsia="zh-CN"/>
        </w:rPr>
        <w:t>如遇报价相同，采用抽签方式确定成交单位。</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（七）评审过程的监控</w:t>
      </w:r>
    </w:p>
    <w:p>
      <w:pPr>
        <w:numPr>
          <w:ilvl w:val="0"/>
          <w:numId w:val="0"/>
        </w:num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本项目评审过程实行全程录音、录像监控，供应商在评审过程中所进行的试图影响评审结果的不公正活动，可能导致其谈判响应被拒绝。</w:t>
      </w:r>
    </w:p>
    <w:p>
      <w:pPr>
        <w:shd w:val="clear"/>
        <w:spacing w:line="360" w:lineRule="auto"/>
        <w:jc w:val="both"/>
        <w:rPr>
          <w:rFonts w:hint="default"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五、谈判结果确定</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1、确定成交供应商。谈判小组根据采购人的《授权意见确认书》，推荐成交候选供应商或直接确定成交供应商。其中推荐成交候选供应商的，</w:t>
      </w:r>
      <w:r>
        <w:rPr>
          <w:rFonts w:hint="eastAsia" w:ascii="宋体" w:hAnsi="宋体" w:cs="宋体"/>
          <w:b w:val="0"/>
          <w:bCs w:val="0"/>
          <w:color w:val="auto"/>
          <w:sz w:val="24"/>
          <w:szCs w:val="32"/>
          <w:highlight w:val="none"/>
          <w:lang w:val="en-GB" w:eastAsia="zh-CN"/>
        </w:rPr>
        <w:t>采购人</w:t>
      </w:r>
      <w:r>
        <w:rPr>
          <w:rFonts w:hint="eastAsia" w:ascii="宋体" w:hAnsi="宋体" w:eastAsia="宋体" w:cs="宋体"/>
          <w:b w:val="0"/>
          <w:bCs w:val="0"/>
          <w:color w:val="auto"/>
          <w:sz w:val="24"/>
          <w:szCs w:val="32"/>
          <w:highlight w:val="none"/>
          <w:lang w:val="en-GB" w:eastAsia="zh-CN"/>
        </w:rPr>
        <w:t>在谈判结束之日起2个工作日内将评审报告送交采购人，采购人自收到评审报告之日起5个工作日内在评审报告推荐的成交候选人中按顺序确定成交供应商。</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2、发布成交结果公告。</w:t>
      </w:r>
      <w:r>
        <w:rPr>
          <w:rFonts w:hint="eastAsia" w:ascii="宋体" w:hAnsi="宋体" w:cs="宋体"/>
          <w:b w:val="0"/>
          <w:bCs w:val="0"/>
          <w:color w:val="auto"/>
          <w:sz w:val="24"/>
          <w:szCs w:val="32"/>
          <w:highlight w:val="none"/>
          <w:lang w:val="en-GB" w:eastAsia="zh-CN"/>
        </w:rPr>
        <w:t>采购人</w:t>
      </w:r>
      <w:r>
        <w:rPr>
          <w:rFonts w:hint="eastAsia" w:ascii="宋体" w:hAnsi="宋体" w:eastAsia="宋体" w:cs="宋体"/>
          <w:b w:val="0"/>
          <w:bCs w:val="0"/>
          <w:color w:val="auto"/>
          <w:sz w:val="24"/>
          <w:szCs w:val="32"/>
          <w:highlight w:val="none"/>
          <w:lang w:val="en-GB" w:eastAsia="zh-CN"/>
        </w:rPr>
        <w:t>应当在成交供应商确定后2个工作日内，在省级以上的采购信息发布媒体及相关网站上公告成交结果，并将谈判采购文件随同公告。</w:t>
      </w:r>
    </w:p>
    <w:p>
      <w:pPr>
        <w:numPr>
          <w:ilvl w:val="0"/>
          <w:numId w:val="0"/>
        </w:numPr>
        <w:shd w:val="clear"/>
        <w:spacing w:line="360" w:lineRule="auto"/>
        <w:ind w:firstLine="480" w:firstLineChars="200"/>
        <w:jc w:val="both"/>
        <w:rPr>
          <w:rFonts w:hint="eastAsia" w:ascii="宋体" w:hAnsi="宋体" w:cs="宋体"/>
          <w:color w:val="auto"/>
          <w:sz w:val="24"/>
          <w:szCs w:val="32"/>
          <w:highlight w:val="none"/>
        </w:rPr>
      </w:pPr>
      <w:r>
        <w:rPr>
          <w:rFonts w:hint="eastAsia" w:ascii="宋体" w:hAnsi="宋体" w:eastAsia="宋体" w:cs="宋体"/>
          <w:b w:val="0"/>
          <w:bCs w:val="0"/>
          <w:color w:val="auto"/>
          <w:sz w:val="24"/>
          <w:szCs w:val="32"/>
          <w:highlight w:val="none"/>
          <w:lang w:val="en-GB" w:eastAsia="zh-CN"/>
        </w:rPr>
        <w:t>3、发出成交通知书。采购</w:t>
      </w:r>
      <w:r>
        <w:rPr>
          <w:rFonts w:hint="eastAsia" w:ascii="宋体" w:hAnsi="宋体" w:cs="宋体"/>
          <w:b w:val="0"/>
          <w:bCs w:val="0"/>
          <w:color w:val="auto"/>
          <w:sz w:val="24"/>
          <w:szCs w:val="32"/>
          <w:highlight w:val="none"/>
          <w:lang w:val="en-GB" w:eastAsia="zh-CN"/>
        </w:rPr>
        <w:t>人</w:t>
      </w:r>
      <w:r>
        <w:rPr>
          <w:rFonts w:hint="eastAsia" w:ascii="宋体" w:hAnsi="宋体" w:eastAsia="宋体" w:cs="宋体"/>
          <w:b w:val="0"/>
          <w:bCs w:val="0"/>
          <w:color w:val="auto"/>
          <w:sz w:val="24"/>
          <w:szCs w:val="32"/>
          <w:highlight w:val="none"/>
          <w:lang w:val="en-GB" w:eastAsia="zh-CN"/>
        </w:rPr>
        <w:t>在发布成交结果同时，向成交供应商发出成交通知书。</w:t>
      </w:r>
    </w:p>
    <w:p>
      <w:pPr>
        <w:shd w:val="clear"/>
        <w:spacing w:line="360" w:lineRule="auto"/>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六、合同签订及公告</w:t>
      </w:r>
    </w:p>
    <w:p>
      <w:pPr>
        <w:shd w:val="clear"/>
        <w:spacing w:line="360" w:lineRule="auto"/>
        <w:ind w:firstLine="241" w:firstLineChars="100"/>
        <w:jc w:val="both"/>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（一）签订合同</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1、采购人应当自成交通知书发出之日起</w:t>
      </w:r>
      <w:r>
        <w:rPr>
          <w:rFonts w:hint="eastAsia" w:ascii="宋体" w:hAnsi="宋体" w:cs="宋体"/>
          <w:b w:val="0"/>
          <w:bCs w:val="0"/>
          <w:color w:val="auto"/>
          <w:sz w:val="24"/>
          <w:szCs w:val="32"/>
          <w:highlight w:val="none"/>
          <w:lang w:val="en-US" w:eastAsia="zh-CN"/>
        </w:rPr>
        <w:t>30天</w:t>
      </w:r>
      <w:r>
        <w:rPr>
          <w:rFonts w:hint="eastAsia" w:ascii="宋体" w:hAnsi="宋体" w:eastAsia="宋体" w:cs="宋体"/>
          <w:b w:val="0"/>
          <w:bCs w:val="0"/>
          <w:color w:val="auto"/>
          <w:sz w:val="24"/>
          <w:szCs w:val="32"/>
          <w:highlight w:val="none"/>
          <w:lang w:val="en-GB" w:eastAsia="zh-CN"/>
        </w:rPr>
        <w:t>内，按照谈判采购文件确定的合同文本以及采购标的、采购金额、采购数量和服务要求等事项签订采购合同。</w:t>
      </w:r>
    </w:p>
    <w:p>
      <w:pPr>
        <w:numPr>
          <w:ilvl w:val="0"/>
          <w:numId w:val="0"/>
        </w:num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2、采购人不得向成交供应商提出超出谈判采购文件以外的任何要求作为签订合同的条件，不得与成交供应商订立背离谈判采购文件确定的合同文本以及采购标的、采购金额、采购数量和服务要求等实质性内容的协议。</w:t>
      </w:r>
    </w:p>
    <w:p>
      <w:pPr>
        <w:numPr>
          <w:ilvl w:val="0"/>
          <w:numId w:val="0"/>
        </w:numPr>
        <w:shd w:val="clear"/>
        <w:spacing w:line="360" w:lineRule="auto"/>
        <w:ind w:firstLine="480" w:firstLineChars="200"/>
        <w:jc w:val="both"/>
        <w:rPr>
          <w:rFonts w:hint="default"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3、成交供应商无故拖延、拒签合同的,取消成交资格。</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4、成交供应商拒绝与采购人签订合同的，采购人可以按照评审报告推荐的成交候选供应商名单排序，确定下一候选供应商为成交供应商，也可以重新开展采购活动。</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32"/>
          <w:highlight w:val="none"/>
          <w:lang w:val="en-GB" w:eastAsia="zh-CN"/>
        </w:rPr>
      </w:pPr>
      <w:r>
        <w:rPr>
          <w:rFonts w:hint="eastAsia" w:ascii="宋体" w:hAnsi="宋体" w:eastAsia="宋体" w:cs="宋体"/>
          <w:b w:val="0"/>
          <w:bCs w:val="0"/>
          <w:color w:val="auto"/>
          <w:sz w:val="24"/>
          <w:szCs w:val="32"/>
          <w:highlight w:val="none"/>
          <w:lang w:val="en-GB" w:eastAsia="zh-CN"/>
        </w:rPr>
        <w:t>5、询问或者质疑事项可能影响成交结果的，采购人应当暂停签订合同，已经签订合同的，应当中止履行合同（成交结果的质疑期为成交结果公告期限届满之日起七个工作日）。</w:t>
      </w: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pStyle w:val="12"/>
        <w:rPr>
          <w:rFonts w:hint="eastAsia"/>
          <w:color w:val="auto"/>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both"/>
        <w:rPr>
          <w:rFonts w:hint="eastAsia" w:ascii="宋体" w:hAnsi="宋体" w:eastAsia="宋体" w:cs="宋体"/>
          <w:b w:val="0"/>
          <w:bCs w:val="0"/>
          <w:color w:val="auto"/>
          <w:sz w:val="24"/>
          <w:szCs w:val="32"/>
          <w:highlight w:val="none"/>
          <w:lang w:val="en-GB" w:eastAsia="zh-CN"/>
        </w:rPr>
      </w:pPr>
    </w:p>
    <w:p>
      <w:pPr>
        <w:numPr>
          <w:ilvl w:val="0"/>
          <w:numId w:val="0"/>
        </w:numPr>
        <w:shd w:val="clear"/>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第三章 谈判内容</w:t>
      </w:r>
    </w:p>
    <w:p>
      <w:pPr>
        <w:numPr>
          <w:ilvl w:val="0"/>
          <w:numId w:val="0"/>
        </w:numPr>
        <w:shd w:val="clea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招标需求</w:t>
      </w:r>
    </w:p>
    <w:p>
      <w:pPr>
        <w:numPr>
          <w:ilvl w:val="0"/>
          <w:numId w:val="0"/>
        </w:numPr>
        <w:shd w:val="clea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陪护椅换皮翻新项目，包括全椅重新包皮、配件海绵、脚轮、脚套、横档断裂等有损坏的配件</w:t>
      </w:r>
      <w:r>
        <w:rPr>
          <w:rFonts w:hint="eastAsia" w:ascii="宋体" w:hAnsi="宋体" w:cs="宋体"/>
          <w:b w:val="0"/>
          <w:bCs w:val="0"/>
          <w:color w:val="auto"/>
          <w:sz w:val="24"/>
          <w:szCs w:val="24"/>
          <w:highlight w:val="none"/>
          <w:lang w:val="en-US" w:eastAsia="zh-CN"/>
        </w:rPr>
        <w:t>均需</w:t>
      </w:r>
      <w:r>
        <w:rPr>
          <w:rFonts w:hint="eastAsia" w:ascii="宋体" w:hAnsi="宋体" w:eastAsia="宋体" w:cs="宋体"/>
          <w:b w:val="0"/>
          <w:bCs w:val="0"/>
          <w:color w:val="auto"/>
          <w:sz w:val="24"/>
          <w:szCs w:val="24"/>
          <w:highlight w:val="none"/>
          <w:lang w:val="en-US" w:eastAsia="zh-CN"/>
        </w:rPr>
        <w:t>维修</w:t>
      </w:r>
      <w:r>
        <w:rPr>
          <w:rFonts w:hint="eastAsia" w:ascii="宋体" w:hAnsi="宋体" w:cs="宋体"/>
          <w:b w:val="0"/>
          <w:bCs w:val="0"/>
          <w:color w:val="auto"/>
          <w:sz w:val="24"/>
          <w:szCs w:val="24"/>
          <w:highlight w:val="none"/>
          <w:lang w:val="en-US" w:eastAsia="zh-CN"/>
        </w:rPr>
        <w:t>完好</w:t>
      </w:r>
      <w:r>
        <w:rPr>
          <w:rFonts w:hint="eastAsia" w:ascii="宋体" w:hAnsi="宋体" w:eastAsia="宋体" w:cs="宋体"/>
          <w:b w:val="0"/>
          <w:bCs w:val="0"/>
          <w:color w:val="auto"/>
          <w:sz w:val="24"/>
          <w:szCs w:val="24"/>
          <w:highlight w:val="none"/>
          <w:lang w:val="en-US" w:eastAsia="zh-CN"/>
        </w:rPr>
        <w:t>，数量约450张，按实际结算，报价不超过150元/张，报价注明：皮质种类、配件等</w:t>
      </w:r>
    </w:p>
    <w:p>
      <w:pPr>
        <w:numPr>
          <w:ilvl w:val="0"/>
          <w:numId w:val="0"/>
        </w:numPr>
        <w:shd w:val="clea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二、履约时间、地点及验收方法：</w:t>
      </w:r>
    </w:p>
    <w:p>
      <w:pPr>
        <w:numPr>
          <w:ilvl w:val="0"/>
          <w:numId w:val="0"/>
        </w:numPr>
        <w:shd w:val="clear" w:color="auto" w:fill="auto"/>
        <w:spacing w:line="360" w:lineRule="auto"/>
        <w:ind w:firstLine="480" w:firstLineChars="200"/>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1、</w:t>
      </w:r>
      <w:r>
        <w:rPr>
          <w:rFonts w:hint="eastAsia" w:ascii="宋体" w:hAnsi="宋体" w:eastAsia="宋体" w:cs="宋体"/>
          <w:b w:val="0"/>
          <w:bCs w:val="0"/>
          <w:color w:val="auto"/>
          <w:sz w:val="24"/>
          <w:szCs w:val="24"/>
          <w:highlight w:val="none"/>
          <w:u w:val="none"/>
          <w:lang w:val="en-US" w:eastAsia="zh-CN"/>
        </w:rPr>
        <w:t>履约</w:t>
      </w:r>
      <w:r>
        <w:rPr>
          <w:rFonts w:hint="eastAsia" w:ascii="宋体" w:hAnsi="宋体" w:eastAsia="宋体" w:cs="宋体"/>
          <w:b w:val="0"/>
          <w:bCs w:val="0"/>
          <w:color w:val="auto"/>
          <w:sz w:val="24"/>
          <w:szCs w:val="24"/>
          <w:highlight w:val="none"/>
          <w:u w:val="none"/>
        </w:rPr>
        <w:t>时间及地点</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合同签订后</w:t>
      </w:r>
      <w:r>
        <w:rPr>
          <w:rFonts w:hint="eastAsia" w:ascii="宋体" w:hAnsi="宋体" w:cs="宋体"/>
          <w:b w:val="0"/>
          <w:bCs w:val="0"/>
          <w:color w:val="auto"/>
          <w:sz w:val="24"/>
          <w:szCs w:val="24"/>
          <w:highlight w:val="none"/>
          <w:u w:val="none"/>
          <w:lang w:val="en-US" w:eastAsia="zh-CN"/>
        </w:rPr>
        <w:t>20</w:t>
      </w:r>
      <w:r>
        <w:rPr>
          <w:rFonts w:hint="eastAsia" w:ascii="宋体" w:hAnsi="宋体" w:eastAsia="宋体" w:cs="宋体"/>
          <w:b w:val="0"/>
          <w:bCs w:val="0"/>
          <w:color w:val="auto"/>
          <w:sz w:val="24"/>
          <w:szCs w:val="24"/>
          <w:highlight w:val="none"/>
          <w:u w:val="none"/>
          <w:lang w:val="en-US" w:eastAsia="zh-CN"/>
        </w:rPr>
        <w:t>日历天</w:t>
      </w:r>
      <w:r>
        <w:rPr>
          <w:rFonts w:hint="eastAsia" w:ascii="宋体" w:hAnsi="宋体" w:eastAsia="宋体" w:cs="宋体"/>
          <w:b w:val="0"/>
          <w:bCs w:val="0"/>
          <w:color w:val="auto"/>
          <w:sz w:val="24"/>
          <w:szCs w:val="24"/>
          <w:highlight w:val="none"/>
          <w:u w:val="none"/>
        </w:rPr>
        <w:t>内</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甲方指定地点</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2、验收方法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（1）交货前应对产品做出全面检查和对验收情况进行整理，并列出清单，检验的结果应随货物交采购人。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（2）采购人对成交人提交的货物依据合同约定的技术规格要求和国家有关质量标准进行现场初步验收，外观、数量、规格</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相关技术材料符合合同约定要求的，给予签收，初步验收不合格的，不予以签收，货到后，采购人需在五个工作日内完成初步验收。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（3）货物经成交人</w:t>
      </w:r>
      <w:r>
        <w:rPr>
          <w:rFonts w:hint="eastAsia" w:ascii="宋体" w:hAnsi="宋体" w:eastAsia="宋体" w:cs="宋体"/>
          <w:color w:val="auto"/>
          <w:sz w:val="24"/>
          <w:szCs w:val="24"/>
          <w:highlight w:val="none"/>
          <w:lang w:val="en-US" w:eastAsia="zh-CN"/>
        </w:rPr>
        <w:t>翻新</w:t>
      </w:r>
      <w:r>
        <w:rPr>
          <w:rFonts w:hint="eastAsia" w:ascii="宋体" w:hAnsi="宋体" w:eastAsia="宋体" w:cs="宋体"/>
          <w:color w:val="auto"/>
          <w:sz w:val="24"/>
          <w:szCs w:val="24"/>
          <w:highlight w:val="none"/>
        </w:rPr>
        <w:t>完毕后，采购人进行最终验收，验收时成交人必须在现场。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付款方式：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1、</w:t>
      </w: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2、成交人必须开具本公司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的税务发票，提供本公司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的账号，成交人开具非本公司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的发票，采购人有权拒绝接收；提供非本公司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的账号，采购人有权拒绝转款。</w:t>
      </w:r>
    </w:p>
    <w:p>
      <w:pPr>
        <w:shd w:val="clear"/>
        <w:spacing w:line="360" w:lineRule="auto"/>
        <w:jc w:val="center"/>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p>
    <w:p>
      <w:pPr>
        <w:shd w:val="clear"/>
        <w:spacing w:line="360" w:lineRule="auto"/>
        <w:jc w:val="both"/>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第四章 合同主要条款指引</w:t>
      </w:r>
    </w:p>
    <w:p>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（此稿为合同样本，最终定稿待双方协商后定）</w:t>
      </w:r>
    </w:p>
    <w:p>
      <w:pPr>
        <w:keepNext w:val="0"/>
        <w:keepLines w:val="0"/>
        <w:pageBreakBefore w:val="0"/>
        <w:widowControl w:val="0"/>
        <w:shd w:val="clear" w:color="auto" w:fill="auto"/>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                              合同签订地：</w:t>
      </w:r>
    </w:p>
    <w:p>
      <w:pPr>
        <w:keepNext w:val="0"/>
        <w:keepLines w:val="0"/>
        <w:pageBreakBefore w:val="0"/>
        <w:widowControl w:val="0"/>
        <w:shd w:val="clear" w:color="auto" w:fill="auto"/>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购货单位（甲方）：</w:t>
      </w:r>
    </w:p>
    <w:p>
      <w:pPr>
        <w:keepNext w:val="0"/>
        <w:keepLines w:val="0"/>
        <w:pageBreakBefore w:val="0"/>
        <w:widowControl w:val="0"/>
        <w:shd w:val="clear" w:color="auto" w:fill="auto"/>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供货单位（乙方）： </w:t>
      </w:r>
    </w:p>
    <w:p>
      <w:pPr>
        <w:keepNext w:val="0"/>
        <w:keepLines w:val="0"/>
        <w:pageBreakBefore w:val="0"/>
        <w:widowControl w:val="0"/>
        <w:shd w:val="clear" w:color="auto" w:fill="auto"/>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根据《民法典》及有关规定，协调供求双方之间的购销关系，明确责任和权利，经双方一致同意，订立以下条款以资共同遵守。</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一、合同金额：</w:t>
      </w:r>
      <w:r>
        <w:rPr>
          <w:rFonts w:hint="eastAsia" w:ascii="宋体" w:hAnsi="宋体" w:eastAsia="宋体" w:cs="宋体"/>
          <w:b/>
          <w:bCs/>
          <w:color w:val="auto"/>
          <w:sz w:val="24"/>
          <w:szCs w:val="24"/>
          <w:highlight w:val="none"/>
        </w:rPr>
        <w:t>（大写）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元。本合同约定的总价包括产品及产品运输、包装、搬运、服务、人工、保险、税金、培训、验收、安装辅助材料（涉及电气的，须包含安装辅助材料，要具有漏保等安全用电设施，符合用电标准）</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安装和调试等全部费用。</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（1）非甲方人员人为原因而出现的质量问题，由乙方负责包修、包换或包退，并承担因此而产生的一切费用和安全责任。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）货物在交付甲方之前发生的风险均由乙方负责。</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）乙方不得以任何形式将本项目转包或分包给其他单位，否则甲方有权终止合同，所发生的一切损失均由乙方承担。</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时间、地点及验收方法：</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u w:val="none"/>
          <w:lang w:val="en-US" w:eastAsia="zh-CN"/>
        </w:rPr>
        <w:t>履约</w:t>
      </w:r>
      <w:r>
        <w:rPr>
          <w:rFonts w:hint="eastAsia" w:ascii="宋体" w:hAnsi="宋体" w:eastAsia="宋体" w:cs="宋体"/>
          <w:b w:val="0"/>
          <w:bCs w:val="0"/>
          <w:color w:val="auto"/>
          <w:sz w:val="24"/>
          <w:szCs w:val="24"/>
          <w:highlight w:val="none"/>
          <w:u w:val="none"/>
        </w:rPr>
        <w:t>时间及地点</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合同签订后</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eastAsia="zh-CN"/>
        </w:rPr>
        <w:t>0日历天</w:t>
      </w:r>
      <w:r>
        <w:rPr>
          <w:rFonts w:hint="eastAsia" w:ascii="宋体" w:hAnsi="宋体" w:eastAsia="宋体" w:cs="宋体"/>
          <w:b w:val="0"/>
          <w:bCs w:val="0"/>
          <w:color w:val="auto"/>
          <w:sz w:val="24"/>
          <w:szCs w:val="24"/>
          <w:highlight w:val="none"/>
          <w:u w:val="none"/>
        </w:rPr>
        <w:t>内</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甲方指定地点</w:t>
      </w:r>
      <w:r>
        <w:rPr>
          <w:rFonts w:hint="eastAsia" w:ascii="宋体" w:hAnsi="宋体" w:eastAsia="宋体" w:cs="宋体"/>
          <w:color w:val="auto"/>
          <w:sz w:val="24"/>
          <w:szCs w:val="24"/>
          <w:highlight w:val="none"/>
        </w:rPr>
        <w:t>。</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2、验收方法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（1）交货前应对产品做出全面检查和对验收情况进行整理，并列出清单，检验的结果应随货物交采购人。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（2）采购人对成交人提交的货物依据合同约定的技术规格要求和国家有关质量标准进行现场初步验收，外观、数量、规格</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相关技术材料符合合同约定要求的，给予签收，初步验收不合格的，不予以签收，货到后，采购人需在五个工作日内完成初步验收。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（3）货物经成交人</w:t>
      </w:r>
      <w:r>
        <w:rPr>
          <w:rFonts w:hint="eastAsia" w:ascii="宋体" w:hAnsi="宋体" w:eastAsia="宋体" w:cs="宋体"/>
          <w:color w:val="auto"/>
          <w:sz w:val="24"/>
          <w:szCs w:val="24"/>
          <w:highlight w:val="none"/>
          <w:lang w:val="en-US" w:eastAsia="zh-CN"/>
        </w:rPr>
        <w:t>翻新</w:t>
      </w:r>
      <w:r>
        <w:rPr>
          <w:rFonts w:hint="eastAsia" w:ascii="宋体" w:hAnsi="宋体" w:eastAsia="宋体" w:cs="宋体"/>
          <w:color w:val="auto"/>
          <w:sz w:val="24"/>
          <w:szCs w:val="24"/>
          <w:highlight w:val="none"/>
        </w:rPr>
        <w:t>完毕后，采购人进行最终验收，验收时成交人必须在现场。</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1、</w:t>
      </w: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2、成交人必须开具本公司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的税务发票，提供本公司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的账号，成交人开具非本公司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的发票，采购人有权拒绝接收；提供非本公司</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企业、商户</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的账号，采购人有权拒绝转款。</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五、售后服务承诺：</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1、乙方承诺本合同的产品的质保期为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年，①质保期内非甲方人员人为原因而出现产品质量问题，由乙方负责包换或包退，并承担因此而产生的一切费用和安全责任。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1.乙方所提供的产品质量如不符合本合同的规定标准，一经发现全部退回，并扣罚保证金 3000元。乙方应在 7 日内提供符合合同约定质量标准的产品，双方约定的交货时间不予顺延。如乙方第二次提供的货物质量仍然不合格的，甲方有权解除合同，并没收乙方全部保证金。因乙方所提供产品质量不合格造成甲方经济损失、人员受损，由乙方承担全部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2.若乙方不按照合同规定又未征得甲方书面同意而延迟履行的，每延迟一日，向甲方支付合同总额的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违约金；超过</w:t>
      </w:r>
      <w:r>
        <w:rPr>
          <w:rFonts w:hint="eastAsia" w:ascii="宋体" w:hAnsi="宋体" w:eastAsia="宋体" w:cs="宋体"/>
          <w:color w:val="auto"/>
          <w:sz w:val="24"/>
          <w:szCs w:val="24"/>
          <w:highlight w:val="none"/>
          <w:u w:val="single"/>
        </w:rPr>
        <w:t xml:space="preserve"> 15</w:t>
      </w:r>
      <w:r>
        <w:rPr>
          <w:rFonts w:hint="eastAsia" w:ascii="宋体" w:hAnsi="宋体" w:eastAsia="宋体" w:cs="宋体"/>
          <w:color w:val="auto"/>
          <w:sz w:val="24"/>
          <w:szCs w:val="24"/>
          <w:highlight w:val="none"/>
        </w:rPr>
        <w:t>日的，视同乙方自动放弃合约，甲方有权单方面解除合同，乙方所</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的履约保证金不予返还，若给甲方造成损失的乙方应承担赔偿责任。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3.乙方与甲方的管理人员有不正当的钱物往来，发现即可解除合同并从履约保证金扣除</w:t>
      </w:r>
      <w:r>
        <w:rPr>
          <w:rFonts w:hint="eastAsia" w:ascii="宋体" w:hAnsi="宋体" w:eastAsia="宋体" w:cs="宋体"/>
          <w:color w:val="auto"/>
          <w:sz w:val="24"/>
          <w:szCs w:val="24"/>
          <w:highlight w:val="none"/>
          <w:u w:val="single"/>
        </w:rPr>
        <w:t xml:space="preserve"> 5000 </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u w:val="single"/>
        </w:rPr>
        <w:t xml:space="preserve"> 10000 </w:t>
      </w:r>
      <w:r>
        <w:rPr>
          <w:rFonts w:hint="eastAsia" w:ascii="宋体" w:hAnsi="宋体" w:eastAsia="宋体" w:cs="宋体"/>
          <w:color w:val="auto"/>
          <w:sz w:val="24"/>
          <w:szCs w:val="24"/>
          <w:highlight w:val="none"/>
        </w:rPr>
        <w:t>以下的处罚金额。</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七、甲方因政策调整</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特殊情况，本合同可提前解除或顺延。其它未尽事宜，双方协商解决。协商不成的，双方约定向</w:t>
      </w: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地人民法院诉讼解决。</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八、其他约定：</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因甲方单位的特殊性，乙方供货人员因遵守甲方的相关规章制度。</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乙方承诺其所供货物来源合法。</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3.本合同范围的货物，应由乙方直接供应，不得转让他人供应，如有转让和未经甲方同意的分包行为，甲方有权解除合同，没收履约保证金并追究乙方的违约责任。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4．乙方人员在运输、搬运、安装、调试、保养等过程中的人身安全、财产安全均由乙方负责。</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必须严格执行施工、安全技术操作规程、安全生产与环境保护等规定。在施工生产过程中，供应商应服从采购方现场管理，如违反有关安全操作规程，消防条例，导致设备、人员、消防等安全事故的，供应商承担由此造成的一切安全和经济责任。</w:t>
      </w:r>
    </w:p>
    <w:p>
      <w:pPr>
        <w:shd w:val="clear" w:color="auto" w:fill="auto"/>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九、合同一经双方签字并加盖公章即为生效。本合同一式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               法定（授权）代表人：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                       项目联系人：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00" w:right="-57" w:rightChars="-27" w:hanging="36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开户银行：</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after="120" w:line="288" w:lineRule="auto"/>
        <w:ind w:left="1224" w:leftChars="410" w:hanging="36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账号：</w:t>
      </w:r>
    </w:p>
    <w:p>
      <w:pPr>
        <w:shd w:val="clear"/>
        <w:spacing w:line="360" w:lineRule="auto"/>
        <w:jc w:val="center"/>
        <w:rPr>
          <w:rFonts w:hint="eastAsia" w:ascii="宋体" w:hAnsi="宋体" w:eastAsia="宋体" w:cs="宋体"/>
          <w:b/>
          <w:bCs/>
          <w:color w:val="auto"/>
          <w:sz w:val="36"/>
          <w:szCs w:val="44"/>
          <w:highlight w:val="none"/>
          <w:lang w:val="en-US" w:eastAsia="zh-CN"/>
        </w:rPr>
      </w:pPr>
    </w:p>
    <w:p>
      <w:pPr>
        <w:pStyle w:val="2"/>
        <w:rPr>
          <w:rFonts w:hint="eastAsia" w:ascii="宋体" w:hAnsi="宋体" w:eastAsia="宋体" w:cs="宋体"/>
          <w:b/>
          <w:bCs/>
          <w:color w:val="auto"/>
          <w:sz w:val="36"/>
          <w:szCs w:val="44"/>
          <w:highlight w:val="none"/>
          <w:lang w:val="en-US" w:eastAsia="zh-CN"/>
        </w:rPr>
      </w:pPr>
    </w:p>
    <w:p>
      <w:pPr>
        <w:pStyle w:val="5"/>
        <w:rPr>
          <w:rFonts w:hint="eastAsia" w:ascii="宋体" w:hAnsi="宋体" w:eastAsia="宋体" w:cs="宋体"/>
          <w:b/>
          <w:bCs/>
          <w:color w:val="auto"/>
          <w:sz w:val="36"/>
          <w:szCs w:val="44"/>
          <w:highlight w:val="none"/>
          <w:lang w:val="en-US" w:eastAsia="zh-CN"/>
        </w:rPr>
      </w:pPr>
    </w:p>
    <w:p>
      <w:pPr>
        <w:shd w:val="clear"/>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第五章 谈判响应文件格式附件</w:t>
      </w:r>
    </w:p>
    <w:p>
      <w:pPr>
        <w:shd w:val="clear"/>
        <w:spacing w:line="360" w:lineRule="auto"/>
        <w:rPr>
          <w:rFonts w:hint="eastAsia" w:ascii="宋体" w:hAnsi="宋体"/>
          <w:b/>
          <w:color w:val="auto"/>
          <w:kern w:val="0"/>
          <w:sz w:val="28"/>
          <w:szCs w:val="28"/>
          <w:highlight w:val="none"/>
        </w:rPr>
      </w:pPr>
      <w:r>
        <w:rPr>
          <w:rFonts w:hint="eastAsia" w:ascii="宋体" w:hAnsi="宋体"/>
          <w:b/>
          <w:color w:val="auto"/>
          <w:kern w:val="0"/>
          <w:sz w:val="28"/>
          <w:szCs w:val="28"/>
          <w:highlight w:val="none"/>
        </w:rPr>
        <w:t xml:space="preserve">附件1                              　　　         </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本</w:t>
      </w:r>
    </w:p>
    <w:p>
      <w:pPr>
        <w:shd w:val="clear"/>
        <w:spacing w:line="360" w:lineRule="auto"/>
        <w:rPr>
          <w:rFonts w:hint="eastAsia" w:ascii="宋体" w:hAnsi="宋体" w:eastAsia="宋体"/>
          <w:color w:val="auto"/>
          <w:sz w:val="24"/>
          <w:highlight w:val="none"/>
        </w:rPr>
      </w:pPr>
    </w:p>
    <w:p>
      <w:pPr>
        <w:shd w:val="clear"/>
        <w:spacing w:line="360" w:lineRule="auto"/>
        <w:jc w:val="center"/>
        <w:rPr>
          <w:rFonts w:hint="eastAsia" w:ascii="宋体" w:hAnsi="宋体" w:eastAsia="宋体"/>
          <w:color w:val="auto"/>
          <w:sz w:val="52"/>
          <w:szCs w:val="52"/>
          <w:highlight w:val="none"/>
        </w:rPr>
      </w:pPr>
      <w:r>
        <w:rPr>
          <w:rFonts w:hint="eastAsia" w:ascii="宋体" w:hAnsi="宋体" w:eastAsia="宋体"/>
          <w:color w:val="auto"/>
          <w:sz w:val="52"/>
          <w:szCs w:val="52"/>
          <w:highlight w:val="none"/>
        </w:rPr>
        <w:t>项目名称</w:t>
      </w:r>
    </w:p>
    <w:p>
      <w:pPr>
        <w:shd w:val="clear"/>
        <w:spacing w:line="360" w:lineRule="auto"/>
        <w:rPr>
          <w:rFonts w:hint="eastAsia" w:ascii="宋体" w:hAnsi="宋体" w:eastAsia="宋体"/>
          <w:color w:val="auto"/>
          <w:sz w:val="24"/>
          <w:highlight w:val="none"/>
        </w:rPr>
      </w:pPr>
    </w:p>
    <w:p>
      <w:pPr>
        <w:shd w:val="clear"/>
        <w:spacing w:line="360" w:lineRule="auto"/>
        <w:jc w:val="center"/>
        <w:rPr>
          <w:rFonts w:hint="eastAsia" w:ascii="宋体" w:hAnsi="宋体" w:eastAsia="宋体"/>
          <w:color w:val="auto"/>
          <w:sz w:val="36"/>
          <w:szCs w:val="36"/>
          <w:highlight w:val="none"/>
        </w:rPr>
      </w:pPr>
      <w:r>
        <w:rPr>
          <w:rFonts w:hint="eastAsia" w:ascii="宋体" w:hAnsi="宋体" w:eastAsia="宋体"/>
          <w:color w:val="auto"/>
          <w:sz w:val="36"/>
          <w:szCs w:val="36"/>
          <w:highlight w:val="none"/>
        </w:rPr>
        <w:t>项目编号：</w:t>
      </w:r>
      <w:r>
        <w:rPr>
          <w:rFonts w:hint="eastAsia" w:ascii="宋体" w:hAnsi="宋体" w:eastAsia="宋体"/>
          <w:color w:val="auto"/>
          <w:sz w:val="36"/>
          <w:szCs w:val="36"/>
          <w:highlight w:val="none"/>
          <w:u w:val="single"/>
        </w:rPr>
        <w:t xml:space="preserve">            </w:t>
      </w:r>
      <w:r>
        <w:rPr>
          <w:rFonts w:hint="eastAsia" w:ascii="宋体" w:hAnsi="宋体" w:eastAsia="宋体"/>
          <w:color w:val="auto"/>
          <w:sz w:val="36"/>
          <w:szCs w:val="36"/>
          <w:highlight w:val="none"/>
        </w:rPr>
        <w:t>（标项）</w:t>
      </w:r>
    </w:p>
    <w:p>
      <w:pPr>
        <w:shd w:val="clear"/>
        <w:spacing w:line="360" w:lineRule="auto"/>
        <w:rPr>
          <w:rFonts w:hint="eastAsia" w:ascii="宋体" w:hAnsi="宋体" w:eastAsia="宋体"/>
          <w:color w:val="auto"/>
          <w:sz w:val="24"/>
          <w:highlight w:val="none"/>
        </w:rPr>
      </w:pPr>
    </w:p>
    <w:p>
      <w:pPr>
        <w:shd w:val="clear"/>
        <w:spacing w:line="360" w:lineRule="auto"/>
        <w:rPr>
          <w:rFonts w:hint="eastAsia" w:ascii="宋体" w:hAnsi="宋体" w:eastAsia="宋体"/>
          <w:color w:val="auto"/>
          <w:sz w:val="24"/>
          <w:highlight w:val="none"/>
        </w:rPr>
      </w:pP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谈</w:t>
      </w: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判</w:t>
      </w: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响</w:t>
      </w: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应</w:t>
      </w: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文</w:t>
      </w:r>
    </w:p>
    <w:p>
      <w:pPr>
        <w:shd w:val="clear"/>
        <w:spacing w:line="360" w:lineRule="auto"/>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rPr>
        <w:t>件</w:t>
      </w:r>
    </w:p>
    <w:p>
      <w:pPr>
        <w:shd w:val="clear"/>
        <w:spacing w:line="360" w:lineRule="auto"/>
        <w:rPr>
          <w:rFonts w:hint="eastAsia" w:ascii="宋体" w:hAnsi="宋体" w:eastAsia="宋体"/>
          <w:color w:val="auto"/>
          <w:sz w:val="24"/>
          <w:highlight w:val="none"/>
        </w:rPr>
      </w:pPr>
    </w:p>
    <w:p>
      <w:pPr>
        <w:shd w:val="clear"/>
        <w:spacing w:line="360" w:lineRule="auto"/>
        <w:rPr>
          <w:rFonts w:hint="eastAsia" w:ascii="宋体" w:hAnsi="宋体" w:eastAsia="宋体"/>
          <w:color w:val="auto"/>
          <w:sz w:val="24"/>
          <w:highlight w:val="none"/>
        </w:rPr>
      </w:pPr>
    </w:p>
    <w:p>
      <w:pPr>
        <w:shd w:val="clear"/>
        <w:spacing w:line="360" w:lineRule="auto"/>
        <w:jc w:val="left"/>
        <w:rPr>
          <w:rFonts w:hint="eastAsia" w:ascii="宋体" w:hAnsi="宋体" w:eastAsia="宋体"/>
          <w:color w:val="auto"/>
          <w:sz w:val="32"/>
          <w:szCs w:val="32"/>
          <w:highlight w:val="none"/>
        </w:rPr>
      </w:pPr>
      <w:r>
        <w:rPr>
          <w:rFonts w:hint="eastAsia" w:ascii="宋体" w:hAnsi="宋体" w:eastAsia="宋体"/>
          <w:color w:val="auto"/>
          <w:sz w:val="32"/>
          <w:szCs w:val="32"/>
          <w:highlight w:val="none"/>
        </w:rPr>
        <w:t>单位全称（公章）：</w:t>
      </w:r>
    </w:p>
    <w:p>
      <w:pPr>
        <w:shd w:val="clear"/>
        <w:spacing w:line="360" w:lineRule="auto"/>
        <w:jc w:val="left"/>
        <w:rPr>
          <w:rFonts w:hint="eastAsia" w:ascii="宋体" w:hAnsi="宋体" w:eastAsia="宋体"/>
          <w:color w:val="auto"/>
          <w:sz w:val="32"/>
          <w:szCs w:val="32"/>
          <w:highlight w:val="none"/>
        </w:rPr>
      </w:pPr>
      <w:r>
        <w:rPr>
          <w:rFonts w:hint="eastAsia" w:ascii="宋体" w:hAnsi="宋体" w:eastAsia="宋体"/>
          <w:color w:val="auto"/>
          <w:sz w:val="32"/>
          <w:szCs w:val="32"/>
          <w:highlight w:val="none"/>
        </w:rPr>
        <w:t>地    址：</w:t>
      </w:r>
    </w:p>
    <w:p>
      <w:pPr>
        <w:shd w:val="clear"/>
        <w:spacing w:line="360" w:lineRule="auto"/>
        <w:jc w:val="left"/>
        <w:rPr>
          <w:rFonts w:hint="eastAsia" w:ascii="宋体" w:hAnsi="宋体" w:eastAsia="宋体"/>
          <w:color w:val="auto"/>
          <w:sz w:val="32"/>
          <w:szCs w:val="32"/>
          <w:highlight w:val="none"/>
        </w:rPr>
      </w:pPr>
      <w:r>
        <w:rPr>
          <w:rFonts w:hint="eastAsia" w:ascii="宋体" w:hAnsi="宋体" w:eastAsia="宋体"/>
          <w:color w:val="auto"/>
          <w:sz w:val="32"/>
          <w:szCs w:val="32"/>
          <w:highlight w:val="none"/>
        </w:rPr>
        <w:t>时    间：</w:t>
      </w:r>
    </w:p>
    <w:p>
      <w:pPr>
        <w:shd w:val="clear"/>
        <w:spacing w:line="360" w:lineRule="auto"/>
        <w:rPr>
          <w:rFonts w:hint="eastAsia" w:ascii="宋体" w:hAnsi="宋体" w:eastAsia="宋体"/>
          <w:color w:val="auto"/>
          <w:sz w:val="24"/>
          <w:highlight w:val="none"/>
        </w:rPr>
      </w:pPr>
    </w:p>
    <w:p>
      <w:pPr>
        <w:shd w:val="clear"/>
        <w:bidi w:val="0"/>
        <w:spacing w:line="360" w:lineRule="auto"/>
        <w:jc w:val="center"/>
        <w:rPr>
          <w:rFonts w:hint="eastAsia"/>
          <w:b/>
          <w:bCs/>
          <w:color w:val="auto"/>
          <w:sz w:val="36"/>
          <w:szCs w:val="36"/>
          <w:highlight w:val="none"/>
        </w:rPr>
      </w:pPr>
      <w:r>
        <w:rPr>
          <w:rFonts w:hint="eastAsia"/>
          <w:b/>
          <w:bCs/>
          <w:color w:val="auto"/>
          <w:sz w:val="36"/>
          <w:szCs w:val="36"/>
          <w:highlight w:val="none"/>
          <w:lang w:eastAsia="zh-CN"/>
        </w:rPr>
        <w:t>谈判</w:t>
      </w:r>
      <w:r>
        <w:rPr>
          <w:rFonts w:hint="eastAsia"/>
          <w:b/>
          <w:bCs/>
          <w:color w:val="auto"/>
          <w:sz w:val="36"/>
          <w:szCs w:val="36"/>
          <w:highlight w:val="none"/>
        </w:rPr>
        <w:t>响应文件目录</w:t>
      </w:r>
    </w:p>
    <w:p>
      <w:pPr>
        <w:shd w:val="clear"/>
        <w:spacing w:line="360" w:lineRule="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第一部分</w:t>
      </w:r>
      <w:r>
        <w:rPr>
          <w:rFonts w:hint="eastAsia" w:ascii="宋体" w:hAnsi="宋体" w:cs="Times New Roman"/>
          <w:b/>
          <w:bCs/>
          <w:color w:val="auto"/>
          <w:sz w:val="28"/>
          <w:szCs w:val="28"/>
          <w:highlight w:val="none"/>
          <w:lang w:val="en-US" w:eastAsia="zh-CN"/>
        </w:rPr>
        <w:t xml:space="preserve"> </w:t>
      </w:r>
      <w:r>
        <w:rPr>
          <w:rFonts w:hint="eastAsia" w:ascii="宋体" w:hAnsi="宋体" w:eastAsia="宋体" w:cs="Times New Roman"/>
          <w:b/>
          <w:bCs/>
          <w:color w:val="auto"/>
          <w:sz w:val="28"/>
          <w:szCs w:val="28"/>
          <w:highlight w:val="none"/>
        </w:rPr>
        <w:t>资格证明</w:t>
      </w:r>
      <w:r>
        <w:rPr>
          <w:rFonts w:hint="eastAsia" w:ascii="宋体" w:hAnsi="宋体" w:eastAsia="宋体" w:cs="Times New Roman"/>
          <w:b/>
          <w:bCs/>
          <w:color w:val="auto"/>
          <w:sz w:val="28"/>
          <w:szCs w:val="28"/>
          <w:highlight w:val="none"/>
          <w:lang w:eastAsia="zh-CN"/>
        </w:rPr>
        <w:t>部分</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谈判声明书（附件</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授权委托书（法定代表人亲自办理投标事宜的，则无需提交</w:t>
      </w:r>
      <w:r>
        <w:rPr>
          <w:rFonts w:hint="eastAsia" w:ascii="宋体" w:hAnsi="宋体" w:cs="宋体"/>
          <w:color w:val="auto"/>
          <w:sz w:val="24"/>
          <w:szCs w:val="32"/>
          <w:highlight w:val="none"/>
          <w:lang w:val="zh-CN"/>
        </w:rPr>
        <w:t>）</w:t>
      </w:r>
      <w:r>
        <w:rPr>
          <w:rFonts w:hint="eastAsia" w:ascii="宋体" w:hAnsi="宋体" w:eastAsia="宋体" w:cs="Times New Roman"/>
          <w:color w:val="auto"/>
          <w:sz w:val="24"/>
          <w:highlight w:val="none"/>
          <w:lang w:eastAsia="zh-CN"/>
        </w:rPr>
        <w:t>（附件3）</w:t>
      </w:r>
      <w:r>
        <w:rPr>
          <w:rFonts w:hint="eastAsia" w:ascii="宋体" w:hAnsi="宋体" w:eastAsia="宋体" w:cs="宋体"/>
          <w:color w:val="auto"/>
          <w:sz w:val="24"/>
          <w:szCs w:val="32"/>
          <w:highlight w:val="none"/>
          <w:lang w:val="zh-CN"/>
        </w:rPr>
        <w:t>；</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法人或者其他组织的营业执照等证明文件，自然人的身份证明</w:t>
      </w:r>
      <w:r>
        <w:rPr>
          <w:rFonts w:hint="eastAsia" w:ascii="宋体" w:hAnsi="宋体" w:eastAsia="宋体" w:cs="宋体"/>
          <w:b w:val="0"/>
          <w:bCs w:val="0"/>
          <w:color w:val="auto"/>
          <w:sz w:val="24"/>
          <w:szCs w:val="32"/>
          <w:highlight w:val="none"/>
          <w:lang w:eastAsia="zh-CN"/>
        </w:rPr>
        <w:t>（附件</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color w:val="auto"/>
          <w:sz w:val="24"/>
          <w:szCs w:val="32"/>
          <w:highlight w:val="none"/>
          <w:lang w:val="zh-CN"/>
        </w:rPr>
        <w:t>；</w:t>
      </w:r>
    </w:p>
    <w:p>
      <w:pPr>
        <w:shd w:val="clear" w:color="auto"/>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依法缴纳税收和社会保障资金的承诺</w:t>
      </w:r>
      <w:r>
        <w:rPr>
          <w:rFonts w:hint="eastAsia" w:ascii="宋体" w:hAnsi="宋体" w:eastAsia="宋体" w:cs="宋体"/>
          <w:b w:val="0"/>
          <w:bCs w:val="0"/>
          <w:color w:val="auto"/>
          <w:sz w:val="24"/>
          <w:szCs w:val="32"/>
          <w:highlight w:val="none"/>
          <w:lang w:eastAsia="zh-CN"/>
        </w:rPr>
        <w:t>（附件</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rPr>
        <w:t>具有良好的商业信誉和健全的财务会计制度的承诺</w:t>
      </w:r>
      <w:r>
        <w:rPr>
          <w:rFonts w:hint="eastAsia" w:ascii="宋体" w:hAnsi="宋体" w:eastAsia="宋体" w:cs="宋体"/>
          <w:b w:val="0"/>
          <w:bCs w:val="0"/>
          <w:color w:val="auto"/>
          <w:sz w:val="24"/>
          <w:szCs w:val="32"/>
          <w:highlight w:val="none"/>
          <w:lang w:eastAsia="zh-CN"/>
        </w:rPr>
        <w:t>（附件</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rPr>
        <w:t>参加采购活动前三年内，在经营活动中没有重大违法记录（承诺函）</w:t>
      </w:r>
      <w:r>
        <w:rPr>
          <w:rFonts w:hint="eastAsia" w:ascii="宋体" w:hAnsi="宋体" w:eastAsia="宋体" w:cs="宋体"/>
          <w:b w:val="0"/>
          <w:bCs w:val="0"/>
          <w:color w:val="auto"/>
          <w:sz w:val="24"/>
          <w:szCs w:val="32"/>
          <w:highlight w:val="none"/>
          <w:lang w:eastAsia="zh-CN"/>
        </w:rPr>
        <w:t>（附件</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spacing w:line="360" w:lineRule="auto"/>
        <w:rPr>
          <w:rFonts w:hint="eastAsia" w:ascii="宋体" w:hAnsi="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zh-CN" w:eastAsia="zh-CN"/>
        </w:rPr>
        <w:t>第二部分</w:t>
      </w:r>
      <w:r>
        <w:rPr>
          <w:rFonts w:hint="eastAsia" w:ascii="宋体" w:hAnsi="宋体" w:cs="Times New Roman"/>
          <w:b/>
          <w:bCs/>
          <w:color w:val="auto"/>
          <w:sz w:val="28"/>
          <w:szCs w:val="28"/>
          <w:highlight w:val="none"/>
          <w:lang w:val="en-US" w:eastAsia="zh-CN"/>
        </w:rPr>
        <w:t xml:space="preserve"> </w:t>
      </w:r>
      <w:r>
        <w:rPr>
          <w:rFonts w:hint="eastAsia" w:ascii="宋体" w:hAnsi="宋体" w:cs="Times New Roman"/>
          <w:b/>
          <w:bCs/>
          <w:color w:val="auto"/>
          <w:sz w:val="28"/>
          <w:szCs w:val="28"/>
          <w:highlight w:val="none"/>
          <w:lang w:val="zh-CN" w:eastAsia="zh-CN"/>
        </w:rPr>
        <w:t>商务与技术</w:t>
      </w:r>
      <w:r>
        <w:rPr>
          <w:rFonts w:hint="eastAsia" w:ascii="宋体" w:hAnsi="宋体" w:cs="Times New Roman"/>
          <w:b/>
          <w:bCs/>
          <w:color w:val="auto"/>
          <w:sz w:val="28"/>
          <w:szCs w:val="28"/>
          <w:highlight w:val="none"/>
          <w:lang w:val="en-US" w:eastAsia="zh-CN"/>
        </w:rPr>
        <w:t>部分</w:t>
      </w:r>
    </w:p>
    <w:p>
      <w:pPr>
        <w:shd w:val="clea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1、</w:t>
      </w:r>
      <w:r>
        <w:rPr>
          <w:rFonts w:hint="eastAsia" w:ascii="宋体" w:hAnsi="宋体" w:eastAsia="宋体" w:cs="Times New Roman"/>
          <w:color w:val="auto"/>
          <w:sz w:val="24"/>
          <w:highlight w:val="none"/>
          <w:lang w:val="en-US" w:eastAsia="zh-CN"/>
        </w:rPr>
        <w:t>供应商情况介绍（附件</w:t>
      </w:r>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、项目组织实施方案(可视情选用附件</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eastAsia="zh-CN"/>
        </w:rPr>
        <w:t>、附件</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商务及技术响应表</w:t>
      </w:r>
      <w:r>
        <w:rPr>
          <w:rFonts w:hint="eastAsia" w:ascii="宋体" w:hAnsi="宋体" w:eastAsia="宋体" w:cs="Times New Roman"/>
          <w:color w:val="auto"/>
          <w:sz w:val="24"/>
          <w:highlight w:val="none"/>
          <w:lang w:eastAsia="zh-CN"/>
        </w:rPr>
        <w:t>（可视情选用附件</w:t>
      </w:r>
      <w:r>
        <w:rPr>
          <w:rFonts w:hint="eastAsia" w:ascii="宋体" w:hAnsi="宋体" w:cs="Times New Roman"/>
          <w:color w:val="auto"/>
          <w:sz w:val="24"/>
          <w:highlight w:val="none"/>
          <w:lang w:val="en-US" w:eastAsia="zh-CN"/>
        </w:rPr>
        <w:t>11</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、证书一览表（附件</w:t>
      </w:r>
      <w:r>
        <w:rPr>
          <w:rFonts w:hint="eastAsia" w:ascii="宋体" w:hAnsi="宋体" w:cs="Times New Roman"/>
          <w:color w:val="auto"/>
          <w:sz w:val="24"/>
          <w:highlight w:val="none"/>
          <w:lang w:val="en-US" w:eastAsia="zh-CN"/>
        </w:rPr>
        <w:t>12</w:t>
      </w:r>
      <w:r>
        <w:rPr>
          <w:rFonts w:hint="eastAsia" w:ascii="宋体" w:hAnsi="宋体" w:eastAsia="宋体" w:cs="Times New Roman"/>
          <w:color w:val="auto"/>
          <w:sz w:val="24"/>
          <w:highlight w:val="none"/>
          <w:lang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lang w:eastAsia="zh-CN"/>
        </w:rPr>
        <w:t>、类似项目业绩一览表（附件</w:t>
      </w:r>
      <w:r>
        <w:rPr>
          <w:rFonts w:hint="eastAsia" w:ascii="宋体" w:hAnsi="宋体" w:cs="Times New Roman"/>
          <w:color w:val="auto"/>
          <w:sz w:val="24"/>
          <w:highlight w:val="none"/>
          <w:lang w:val="en-US" w:eastAsia="zh-CN"/>
        </w:rPr>
        <w:t>13</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lang w:eastAsia="zh-CN"/>
        </w:rPr>
        <w:t>、售后服务措施及承诺（可视情选用附件</w:t>
      </w:r>
      <w:r>
        <w:rPr>
          <w:rFonts w:hint="eastAsia" w:ascii="宋体" w:hAnsi="宋体" w:eastAsia="宋体" w:cs="Times New Roman"/>
          <w:color w:val="auto"/>
          <w:sz w:val="24"/>
          <w:highlight w:val="none"/>
          <w:lang w:val="en-US" w:eastAsia="zh-CN"/>
        </w:rPr>
        <w:t>1</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w:t>
      </w:r>
    </w:p>
    <w:p>
      <w:pPr>
        <w:shd w:val="clear"/>
        <w:spacing w:line="360" w:lineRule="auto"/>
        <w:rPr>
          <w:rFonts w:hint="eastAsia" w:ascii="宋体" w:hAnsi="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第三部分 报价部分</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1、首次报价一览表（附件1</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w:t>
      </w:r>
    </w:p>
    <w:p>
      <w:pPr>
        <w:shd w:val="clea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2、报价明细表（附件</w:t>
      </w:r>
      <w:r>
        <w:rPr>
          <w:rFonts w:hint="eastAsia" w:ascii="宋体" w:hAnsi="宋体" w:eastAsia="宋体" w:cs="Times New Roman"/>
          <w:color w:val="auto"/>
          <w:sz w:val="24"/>
          <w:highlight w:val="none"/>
          <w:lang w:val="en-US" w:eastAsia="zh-CN"/>
        </w:rPr>
        <w:t>1</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eastAsia="zh-CN"/>
        </w:rPr>
        <w:t>）；</w:t>
      </w:r>
    </w:p>
    <w:p>
      <w:pPr>
        <w:shd w:val="clear"/>
        <w:spacing w:line="360" w:lineRule="auto"/>
        <w:rPr>
          <w:rFonts w:hint="eastAsia" w:ascii="宋体" w:hAnsi="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第四部分 其他部分</w:t>
      </w:r>
    </w:p>
    <w:p>
      <w:pPr>
        <w:shd w:val="clear"/>
        <w:spacing w:line="360" w:lineRule="auto"/>
        <w:ind w:firstLine="480" w:firstLineChars="200"/>
        <w:rPr>
          <w:color w:val="auto"/>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、针对竞争性谈判，响应供应商认为其他需要说明的</w:t>
      </w:r>
      <w:r>
        <w:rPr>
          <w:rFonts w:hint="eastAsia" w:ascii="宋体" w:hAnsi="宋体" w:cs="Times New Roman"/>
          <w:color w:val="auto"/>
          <w:sz w:val="24"/>
          <w:highlight w:val="none"/>
          <w:lang w:eastAsia="zh-CN"/>
        </w:rPr>
        <w:t>。</w:t>
      </w:r>
    </w:p>
    <w:p>
      <w:pPr>
        <w:shd w:val="clear"/>
        <w:spacing w:line="360" w:lineRule="auto"/>
        <w:rPr>
          <w:rFonts w:hint="eastAsia" w:ascii="宋体" w:hAnsi="宋体" w:eastAsia="宋体"/>
          <w:color w:val="auto"/>
          <w:sz w:val="24"/>
          <w:highlight w:val="none"/>
          <w:lang w:eastAsia="zh-CN"/>
        </w:rPr>
      </w:pPr>
    </w:p>
    <w:p>
      <w:pPr>
        <w:shd w:val="clear"/>
        <w:spacing w:line="360" w:lineRule="auto"/>
        <w:rPr>
          <w:rFonts w:hint="eastAsia" w:ascii="宋体" w:hAnsi="宋体" w:eastAsia="宋体"/>
          <w:color w:val="auto"/>
          <w:sz w:val="24"/>
          <w:highlight w:val="none"/>
          <w:lang w:eastAsia="zh-CN"/>
        </w:rPr>
      </w:pPr>
    </w:p>
    <w:p>
      <w:pPr>
        <w:shd w:val="clear"/>
        <w:spacing w:line="360" w:lineRule="auto"/>
        <w:rPr>
          <w:rFonts w:hint="eastAsia" w:ascii="宋体" w:hAnsi="宋体" w:eastAsia="宋体"/>
          <w:color w:val="auto"/>
          <w:sz w:val="24"/>
          <w:highlight w:val="none"/>
          <w:lang w:eastAsia="zh-CN"/>
        </w:rPr>
      </w:pPr>
    </w:p>
    <w:p>
      <w:pPr>
        <w:shd w:val="clear"/>
        <w:spacing w:line="360" w:lineRule="auto"/>
        <w:rPr>
          <w:rFonts w:hint="eastAsia" w:ascii="宋体" w:hAnsi="宋体" w:eastAsia="宋体"/>
          <w:color w:val="auto"/>
          <w:sz w:val="24"/>
          <w:highlight w:val="none"/>
          <w:lang w:eastAsia="zh-CN"/>
        </w:rPr>
      </w:pPr>
    </w:p>
    <w:p>
      <w:pPr>
        <w:pStyle w:val="2"/>
        <w:rPr>
          <w:rFonts w:hint="eastAsia" w:ascii="宋体" w:hAnsi="宋体" w:eastAsia="宋体"/>
          <w:color w:val="auto"/>
          <w:sz w:val="24"/>
          <w:highlight w:val="none"/>
          <w:lang w:eastAsia="zh-CN"/>
        </w:rPr>
      </w:pPr>
    </w:p>
    <w:p>
      <w:pPr>
        <w:pStyle w:val="5"/>
        <w:rPr>
          <w:rFonts w:hint="eastAsia"/>
          <w:lang w:eastAsia="zh-CN"/>
        </w:rPr>
      </w:pPr>
    </w:p>
    <w:p>
      <w:pPr>
        <w:shd w:val="clear"/>
        <w:spacing w:line="360" w:lineRule="auto"/>
        <w:rPr>
          <w:rFonts w:hint="eastAsia" w:ascii="宋体" w:hAnsi="宋体" w:eastAsia="宋体"/>
          <w:color w:val="auto"/>
          <w:sz w:val="24"/>
          <w:highlight w:val="none"/>
          <w:lang w:eastAsia="zh-CN"/>
        </w:rPr>
      </w:pPr>
    </w:p>
    <w:p>
      <w:pPr>
        <w:shd w:val="clea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谈判声明书</w:t>
      </w:r>
    </w:p>
    <w:p>
      <w:pPr>
        <w:shd w:val="clear"/>
        <w:spacing w:line="360" w:lineRule="auto"/>
        <w:rPr>
          <w:rFonts w:hint="eastAsia" w:ascii="宋体" w:hAnsi="宋体" w:eastAsia="宋体"/>
          <w:color w:val="auto"/>
          <w:sz w:val="24"/>
          <w:highlight w:val="none"/>
          <w:lang w:eastAsia="zh-CN"/>
        </w:rPr>
      </w:pPr>
      <w:r>
        <w:rPr>
          <w:rFonts w:hint="eastAsia" w:ascii="宋体" w:hAnsi="宋体"/>
          <w:b/>
          <w:bCs/>
          <w:color w:val="auto"/>
          <w:sz w:val="24"/>
          <w:highlight w:val="none"/>
          <w:u w:val="single"/>
          <w:lang w:eastAsia="zh-CN"/>
        </w:rPr>
        <w:t>台州市立医院</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w:t>
      </w:r>
      <w:r>
        <w:rPr>
          <w:rFonts w:hint="eastAsia" w:ascii="宋体" w:hAnsi="宋体"/>
          <w:color w:val="auto"/>
          <w:sz w:val="24"/>
          <w:highlight w:val="none"/>
          <w:lang w:val="en-US" w:eastAsia="zh-CN"/>
        </w:rPr>
        <w:t>人</w:t>
      </w:r>
      <w:r>
        <w:rPr>
          <w:rFonts w:hint="eastAsia" w:ascii="宋体" w:hAnsi="宋体" w:eastAsia="宋体"/>
          <w:color w:val="auto"/>
          <w:sz w:val="24"/>
          <w:highlight w:val="none"/>
          <w:lang w:val="en-US" w:eastAsia="zh-CN"/>
        </w:rPr>
        <w:t>名称）</w:t>
      </w:r>
      <w:r>
        <w:rPr>
          <w:rFonts w:hint="eastAsia" w:ascii="宋体" w:hAnsi="宋体" w:eastAsia="宋体"/>
          <w:color w:val="auto"/>
          <w:sz w:val="24"/>
          <w:highlight w:val="none"/>
          <w:lang w:eastAsia="zh-CN"/>
        </w:rPr>
        <w:t>：</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u w:val="single"/>
          <w:lang w:val="en-US" w:eastAsia="zh-CN"/>
        </w:rPr>
        <w:t xml:space="preserve">    （供应商名称）    </w:t>
      </w:r>
      <w:r>
        <w:rPr>
          <w:rFonts w:hint="eastAsia" w:ascii="宋体" w:hAnsi="宋体" w:eastAsia="宋体"/>
          <w:color w:val="auto"/>
          <w:sz w:val="24"/>
          <w:highlight w:val="none"/>
          <w:lang w:val="en-US" w:eastAsia="zh-CN"/>
        </w:rPr>
        <w:t>系中华人民共和国合法企业，经营地址。</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我</w:t>
      </w:r>
      <w:r>
        <w:rPr>
          <w:rFonts w:hint="eastAsia" w:ascii="宋体" w:hAnsi="宋体" w:eastAsia="宋体"/>
          <w:color w:val="auto"/>
          <w:sz w:val="24"/>
          <w:highlight w:val="none"/>
          <w:u w:val="single"/>
          <w:lang w:val="en-US" w:eastAsia="zh-CN"/>
        </w:rPr>
        <w:t>（ 姓名 ）</w:t>
      </w:r>
      <w:r>
        <w:rPr>
          <w:rFonts w:hint="eastAsia" w:ascii="宋体" w:hAnsi="宋体" w:eastAsia="宋体"/>
          <w:color w:val="auto"/>
          <w:sz w:val="24"/>
          <w:highlight w:val="none"/>
          <w:lang w:val="en-US" w:eastAsia="zh-CN"/>
        </w:rPr>
        <w:t>系</w:t>
      </w:r>
      <w:r>
        <w:rPr>
          <w:rFonts w:hint="eastAsia" w:ascii="宋体" w:hAnsi="宋体" w:eastAsia="宋体"/>
          <w:color w:val="auto"/>
          <w:sz w:val="24"/>
          <w:highlight w:val="none"/>
          <w:u w:val="single"/>
          <w:lang w:val="en-US" w:eastAsia="zh-CN"/>
        </w:rPr>
        <w:t>（ 供应商名称 ）</w:t>
      </w:r>
      <w:r>
        <w:rPr>
          <w:rFonts w:hint="eastAsia" w:ascii="宋体" w:hAnsi="宋体" w:eastAsia="宋体"/>
          <w:color w:val="auto"/>
          <w:sz w:val="24"/>
          <w:highlight w:val="none"/>
          <w:lang w:val="en-US" w:eastAsia="zh-CN"/>
        </w:rPr>
        <w:t>的法定代表人，我公司自愿参加贵方组织的</w:t>
      </w:r>
      <w:r>
        <w:rPr>
          <w:rFonts w:hint="eastAsia" w:ascii="宋体" w:hAnsi="宋体"/>
          <w:b/>
          <w:bCs/>
          <w:color w:val="auto"/>
          <w:sz w:val="24"/>
          <w:highlight w:val="none"/>
          <w:u w:val="single"/>
          <w:lang w:val="en-US" w:eastAsia="zh-CN"/>
        </w:rPr>
        <w:t>陪护椅换皮翻新项目</w:t>
      </w:r>
      <w:r>
        <w:rPr>
          <w:rFonts w:hint="eastAsia" w:ascii="宋体" w:hAnsi="宋体" w:eastAsia="宋体"/>
          <w:color w:val="auto"/>
          <w:sz w:val="24"/>
          <w:highlight w:val="none"/>
          <w:lang w:val="en-US" w:eastAsia="zh-CN"/>
        </w:rPr>
        <w:t>（编号为</w:t>
      </w:r>
      <w:r>
        <w:rPr>
          <w:rFonts w:hint="eastAsia" w:ascii="宋体" w:hAnsi="宋体"/>
          <w:b/>
          <w:bCs/>
          <w:color w:val="auto"/>
          <w:sz w:val="24"/>
          <w:highlight w:val="none"/>
          <w:u w:val="single"/>
          <w:lang w:val="en-US" w:eastAsia="zh-CN"/>
        </w:rPr>
        <w:t>TZSLYY-01</w:t>
      </w:r>
      <w:r>
        <w:rPr>
          <w:rFonts w:hint="eastAsia" w:ascii="宋体" w:hAnsi="宋体" w:eastAsia="宋体"/>
          <w:color w:val="auto"/>
          <w:sz w:val="24"/>
          <w:highlight w:val="none"/>
          <w:lang w:val="en-US" w:eastAsia="zh-CN"/>
        </w:rPr>
        <w:t>）的谈判，为此，我公司就本次谈判有关事项郑重声明如下：</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2、我公司在参与谈判响应前已详细审查了</w:t>
      </w:r>
      <w:r>
        <w:rPr>
          <w:rFonts w:hint="eastAsia" w:ascii="宋体" w:hAnsi="宋体"/>
          <w:color w:val="auto"/>
          <w:sz w:val="24"/>
          <w:highlight w:val="none"/>
          <w:lang w:val="en-US" w:eastAsia="zh-CN"/>
        </w:rPr>
        <w:t>谈判文件</w:t>
      </w:r>
      <w:r>
        <w:rPr>
          <w:rFonts w:hint="eastAsia" w:ascii="宋体" w:hAnsi="宋体" w:eastAsia="宋体"/>
          <w:color w:val="auto"/>
          <w:sz w:val="24"/>
          <w:highlight w:val="none"/>
          <w:lang w:val="en-US" w:eastAsia="zh-CN"/>
        </w:rPr>
        <w:t>和所有相关资料，我方完全明白并认为此</w:t>
      </w:r>
      <w:r>
        <w:rPr>
          <w:rFonts w:hint="eastAsia" w:ascii="宋体" w:hAnsi="宋体"/>
          <w:color w:val="auto"/>
          <w:sz w:val="24"/>
          <w:highlight w:val="none"/>
          <w:lang w:val="en-US" w:eastAsia="zh-CN"/>
        </w:rPr>
        <w:t>谈判文件</w:t>
      </w:r>
      <w:r>
        <w:rPr>
          <w:rFonts w:hint="eastAsia" w:ascii="宋体" w:hAnsi="宋体" w:eastAsia="宋体"/>
          <w:color w:val="auto"/>
          <w:sz w:val="24"/>
          <w:highlight w:val="none"/>
          <w:lang w:val="en-US" w:eastAsia="zh-CN"/>
        </w:rPr>
        <w:t>没有倾向性，也没有存在排斥潜在供应商的内容，我方同意</w:t>
      </w:r>
      <w:r>
        <w:rPr>
          <w:rFonts w:hint="eastAsia" w:ascii="宋体" w:hAnsi="宋体"/>
          <w:color w:val="auto"/>
          <w:sz w:val="24"/>
          <w:highlight w:val="none"/>
          <w:lang w:val="en-US" w:eastAsia="zh-CN"/>
        </w:rPr>
        <w:t>谈判文件</w:t>
      </w:r>
      <w:r>
        <w:rPr>
          <w:rFonts w:hint="eastAsia" w:ascii="宋体" w:hAnsi="宋体" w:eastAsia="宋体"/>
          <w:color w:val="auto"/>
          <w:sz w:val="24"/>
          <w:highlight w:val="none"/>
          <w:lang w:val="en-US" w:eastAsia="zh-CN"/>
        </w:rPr>
        <w:t>的相关条款，放弃对</w:t>
      </w:r>
      <w:r>
        <w:rPr>
          <w:rFonts w:hint="eastAsia" w:ascii="宋体" w:hAnsi="宋体"/>
          <w:color w:val="auto"/>
          <w:sz w:val="24"/>
          <w:highlight w:val="none"/>
          <w:lang w:val="en-US" w:eastAsia="zh-CN"/>
        </w:rPr>
        <w:t>谈判文件</w:t>
      </w:r>
      <w:r>
        <w:rPr>
          <w:rFonts w:hint="eastAsia" w:ascii="宋体" w:hAnsi="宋体" w:eastAsia="宋体"/>
          <w:color w:val="auto"/>
          <w:sz w:val="24"/>
          <w:highlight w:val="none"/>
          <w:lang w:val="en-US" w:eastAsia="zh-CN"/>
        </w:rPr>
        <w:t>提出误解和质疑的一切权利。</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3、我</w:t>
      </w:r>
      <w:r>
        <w:rPr>
          <w:rFonts w:hint="eastAsia" w:ascii="宋体" w:hAnsi="宋体" w:eastAsia="宋体"/>
          <w:color w:val="auto"/>
          <w:sz w:val="24"/>
          <w:highlight w:val="none"/>
          <w:lang w:val="zh-CN" w:eastAsia="zh-CN"/>
        </w:rPr>
        <w:t>公司</w:t>
      </w:r>
      <w:r>
        <w:rPr>
          <w:rFonts w:hint="eastAsia" w:ascii="宋体" w:hAnsi="宋体" w:eastAsia="宋体"/>
          <w:color w:val="auto"/>
          <w:sz w:val="24"/>
          <w:highlight w:val="none"/>
          <w:lang w:val="en-US" w:eastAsia="zh-CN"/>
        </w:rPr>
        <w:t>不是采购人的附属机构；在获知本项目采购信息后，与采购人聘请的为此项目提供咨询服务的公司及其附属机构没有任何联系。</w:t>
      </w:r>
    </w:p>
    <w:p>
      <w:pPr>
        <w:shd w:val="clear"/>
        <w:spacing w:line="360" w:lineRule="auto"/>
        <w:ind w:firstLine="480" w:firstLineChars="200"/>
        <w:rPr>
          <w:rFonts w:hint="eastAsia" w:ascii="宋体" w:hAnsi="宋体" w:eastAsia="宋体"/>
          <w:color w:val="auto"/>
          <w:sz w:val="24"/>
          <w:highlight w:val="none"/>
          <w:lang w:val="af-ZA" w:eastAsia="zh-CN"/>
        </w:rPr>
      </w:pPr>
      <w:r>
        <w:rPr>
          <w:rFonts w:hint="eastAsia" w:ascii="宋体" w:hAnsi="宋体" w:eastAsia="宋体"/>
          <w:color w:val="auto"/>
          <w:sz w:val="24"/>
          <w:highlight w:val="none"/>
          <w:lang w:val="en-US" w:eastAsia="zh-CN"/>
        </w:rPr>
        <w:t>4、我</w:t>
      </w:r>
      <w:r>
        <w:rPr>
          <w:rFonts w:hint="eastAsia" w:ascii="宋体" w:hAnsi="宋体" w:eastAsia="宋体"/>
          <w:color w:val="auto"/>
          <w:sz w:val="24"/>
          <w:highlight w:val="none"/>
          <w:lang w:val="zh-CN" w:eastAsia="zh-CN"/>
        </w:rPr>
        <w:t>公司</w:t>
      </w:r>
      <w:r>
        <w:rPr>
          <w:rFonts w:hint="eastAsia" w:ascii="宋体" w:hAnsi="宋体" w:eastAsia="宋体"/>
          <w:color w:val="auto"/>
          <w:sz w:val="24"/>
          <w:highlight w:val="none"/>
          <w:lang w:val="en-US" w:eastAsia="zh-CN"/>
        </w:rPr>
        <w:t>保证，</w:t>
      </w:r>
      <w:r>
        <w:rPr>
          <w:rFonts w:hint="eastAsia" w:ascii="宋体" w:hAnsi="宋体" w:eastAsia="宋体"/>
          <w:color w:val="auto"/>
          <w:sz w:val="24"/>
          <w:highlight w:val="none"/>
          <w:lang w:val="af-ZA" w:eastAsia="zh-CN"/>
        </w:rPr>
        <w:t>采购人在中华人民共和国境内使用</w:t>
      </w:r>
      <w:r>
        <w:rPr>
          <w:rFonts w:hint="eastAsia" w:ascii="宋体" w:hAnsi="宋体" w:eastAsia="宋体"/>
          <w:color w:val="auto"/>
          <w:sz w:val="24"/>
          <w:highlight w:val="none"/>
          <w:lang w:val="en-US" w:eastAsia="zh-CN"/>
        </w:rPr>
        <w:t>我</w:t>
      </w:r>
      <w:r>
        <w:rPr>
          <w:rFonts w:hint="eastAsia" w:ascii="宋体" w:hAnsi="宋体" w:eastAsia="宋体"/>
          <w:color w:val="auto"/>
          <w:sz w:val="24"/>
          <w:highlight w:val="none"/>
          <w:lang w:val="zh-CN" w:eastAsia="zh-CN"/>
        </w:rPr>
        <w:t>公司谈判响应的</w:t>
      </w:r>
      <w:r>
        <w:rPr>
          <w:rFonts w:hint="eastAsia" w:ascii="宋体" w:hAnsi="宋体" w:eastAsia="宋体"/>
          <w:color w:val="auto"/>
          <w:sz w:val="24"/>
          <w:highlight w:val="none"/>
          <w:lang w:val="af-ZA" w:eastAsia="zh-CN"/>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af-ZA" w:eastAsia="zh-CN"/>
        </w:rPr>
        <w:t>5、我</w:t>
      </w:r>
      <w:r>
        <w:rPr>
          <w:rFonts w:hint="eastAsia" w:ascii="宋体" w:hAnsi="宋体" w:eastAsia="宋体"/>
          <w:color w:val="auto"/>
          <w:sz w:val="24"/>
          <w:highlight w:val="none"/>
          <w:lang w:val="zh-CN" w:eastAsia="zh-CN"/>
        </w:rPr>
        <w:t>公司</w:t>
      </w:r>
      <w:r>
        <w:rPr>
          <w:rFonts w:hint="eastAsia" w:ascii="宋体" w:hAnsi="宋体" w:eastAsia="宋体"/>
          <w:color w:val="auto"/>
          <w:sz w:val="24"/>
          <w:highlight w:val="none"/>
          <w:lang w:val="af-ZA" w:eastAsia="zh-CN"/>
        </w:rPr>
        <w:t>严格履行采购合同，不降低合同约定的产品质量和服务，不擅自变更、中止、终止合同，或拒绝履行合同义务；</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6、以上事项如有虚假或隐瞒，我</w:t>
      </w:r>
      <w:r>
        <w:rPr>
          <w:rFonts w:hint="eastAsia" w:ascii="宋体" w:hAnsi="宋体" w:eastAsia="宋体"/>
          <w:color w:val="auto"/>
          <w:sz w:val="24"/>
          <w:highlight w:val="none"/>
          <w:lang w:val="zh-CN" w:eastAsia="zh-CN"/>
        </w:rPr>
        <w:t>公司</w:t>
      </w:r>
      <w:r>
        <w:rPr>
          <w:rFonts w:hint="eastAsia" w:ascii="宋体" w:hAnsi="宋体" w:eastAsia="宋体"/>
          <w:color w:val="auto"/>
          <w:sz w:val="24"/>
          <w:highlight w:val="none"/>
          <w:lang w:val="en-US" w:eastAsia="zh-CN"/>
        </w:rPr>
        <w:t>愿意承担一切后果，并不再寻求任何旨在减轻或免除法律责任的辩解。</w:t>
      </w:r>
    </w:p>
    <w:p>
      <w:pPr>
        <w:shd w:val="clear"/>
        <w:spacing w:line="360" w:lineRule="auto"/>
        <w:rPr>
          <w:rFonts w:hint="eastAsia" w:ascii="宋体" w:hAnsi="宋体" w:eastAsia="宋体"/>
          <w:color w:val="auto"/>
          <w:sz w:val="24"/>
          <w:highlight w:val="none"/>
          <w:lang w:eastAsia="zh-CN"/>
        </w:rPr>
      </w:pPr>
    </w:p>
    <w:p>
      <w:pPr>
        <w:shd w:val="clear"/>
        <w:spacing w:line="360" w:lineRule="auto"/>
        <w:ind w:firstLine="3120" w:firstLineChars="1300"/>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供应商名称（公章）：</w:t>
      </w:r>
    </w:p>
    <w:p>
      <w:pPr>
        <w:shd w:val="clear"/>
        <w:spacing w:line="360" w:lineRule="auto"/>
        <w:ind w:firstLine="3120" w:firstLineChars="13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法定代表人或授权委托</w:t>
      </w:r>
      <w:r>
        <w:rPr>
          <w:rFonts w:hint="eastAsia" w:ascii="宋体" w:hAnsi="宋体"/>
          <w:color w:val="auto"/>
          <w:sz w:val="24"/>
          <w:highlight w:val="none"/>
          <w:lang w:val="en-US" w:eastAsia="zh-CN"/>
        </w:rPr>
        <w:t>代理</w:t>
      </w:r>
      <w:r>
        <w:rPr>
          <w:rFonts w:hint="eastAsia" w:ascii="宋体" w:hAnsi="宋体" w:eastAsia="宋体"/>
          <w:color w:val="auto"/>
          <w:sz w:val="24"/>
          <w:highlight w:val="none"/>
          <w:lang w:val="zh-CN" w:eastAsia="zh-CN"/>
        </w:rPr>
        <w:t>人（签字）：</w:t>
      </w:r>
    </w:p>
    <w:p>
      <w:pPr>
        <w:shd w:val="clear"/>
        <w:spacing w:line="360" w:lineRule="auto"/>
        <w:ind w:firstLine="3120" w:firstLineChars="13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日期：</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lang w:val="zh-CN" w:eastAsia="zh-CN"/>
        </w:rPr>
        <w:t>年</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lang w:val="zh-CN" w:eastAsia="zh-CN"/>
        </w:rPr>
        <w:t>月</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lang w:val="zh-CN" w:eastAsia="zh-CN"/>
        </w:rPr>
        <w:t>日</w:t>
      </w:r>
    </w:p>
    <w:p>
      <w:pPr>
        <w:shd w:val="clear"/>
        <w:spacing w:line="360" w:lineRule="auto"/>
        <w:rPr>
          <w:rFonts w:hint="eastAsia" w:ascii="宋体" w:hAnsi="宋体" w:eastAsia="宋体"/>
          <w:color w:val="auto"/>
          <w:sz w:val="24"/>
          <w:highlight w:val="none"/>
          <w:lang w:eastAsia="zh-CN"/>
        </w:rPr>
      </w:pPr>
    </w:p>
    <w:p>
      <w:pPr>
        <w:shd w:val="clear"/>
        <w:spacing w:line="360" w:lineRule="auto"/>
        <w:rPr>
          <w:rFonts w:hint="eastAsia" w:ascii="宋体" w:hAnsi="宋体" w:eastAsia="宋体"/>
          <w:b/>
          <w:color w:val="auto"/>
          <w:sz w:val="28"/>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3</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授权委托书</w:t>
      </w:r>
    </w:p>
    <w:p>
      <w:pPr>
        <w:shd w:val="clear"/>
        <w:spacing w:line="360" w:lineRule="auto"/>
        <w:rPr>
          <w:rFonts w:hint="eastAsia" w:ascii="宋体" w:hAnsi="宋体" w:eastAsia="宋体"/>
          <w:color w:val="auto"/>
          <w:sz w:val="24"/>
          <w:highlight w:val="none"/>
          <w:lang w:val="en-US" w:eastAsia="zh-CN"/>
        </w:rPr>
      </w:pPr>
      <w:r>
        <w:rPr>
          <w:rFonts w:hint="eastAsia" w:ascii="宋体" w:hAnsi="宋体"/>
          <w:b/>
          <w:bCs/>
          <w:color w:val="auto"/>
          <w:sz w:val="24"/>
          <w:highlight w:val="none"/>
          <w:u w:val="single"/>
          <w:lang w:val="en-US" w:eastAsia="zh-CN"/>
        </w:rPr>
        <w:t>台州市立医院</w:t>
      </w:r>
      <w:r>
        <w:rPr>
          <w:rFonts w:hint="eastAsia" w:ascii="宋体" w:hAnsi="宋体" w:eastAsia="宋体"/>
          <w:color w:val="auto"/>
          <w:sz w:val="24"/>
          <w:highlight w:val="none"/>
          <w:lang w:val="en-US" w:eastAsia="zh-CN"/>
        </w:rPr>
        <w:t>（采购</w:t>
      </w:r>
      <w:r>
        <w:rPr>
          <w:rFonts w:hint="eastAsia" w:ascii="宋体" w:hAnsi="宋体"/>
          <w:color w:val="auto"/>
          <w:sz w:val="24"/>
          <w:highlight w:val="none"/>
          <w:lang w:val="en-US" w:eastAsia="zh-CN"/>
        </w:rPr>
        <w:t>人</w:t>
      </w:r>
      <w:r>
        <w:rPr>
          <w:rFonts w:hint="eastAsia" w:ascii="宋体" w:hAnsi="宋体" w:eastAsia="宋体"/>
          <w:color w:val="auto"/>
          <w:sz w:val="24"/>
          <w:highlight w:val="none"/>
          <w:lang w:val="en-US" w:eastAsia="zh-CN"/>
        </w:rPr>
        <w:t>名称）：</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u w:val="single"/>
          <w:lang w:val="en-US" w:eastAsia="zh-CN"/>
        </w:rPr>
        <w:t xml:space="preserve">            （供应商全称）            </w:t>
      </w:r>
      <w:r>
        <w:rPr>
          <w:rFonts w:hint="eastAsia" w:ascii="宋体" w:hAnsi="宋体" w:eastAsia="宋体"/>
          <w:color w:val="auto"/>
          <w:sz w:val="24"/>
          <w:highlight w:val="none"/>
          <w:lang w:val="en-US" w:eastAsia="zh-CN"/>
        </w:rPr>
        <w:t>法定代表人（或营业执照中单位负责人）</w:t>
      </w:r>
      <w:r>
        <w:rPr>
          <w:rFonts w:hint="eastAsia" w:ascii="宋体" w:hAnsi="宋体" w:eastAsia="宋体"/>
          <w:color w:val="auto"/>
          <w:sz w:val="24"/>
          <w:highlight w:val="none"/>
          <w:u w:val="single"/>
          <w:lang w:val="en-US" w:eastAsia="zh-CN"/>
        </w:rPr>
        <w:t xml:space="preserve"> （法定代表人或营业执照中单位负责人姓名） </w:t>
      </w:r>
      <w:r>
        <w:rPr>
          <w:rFonts w:hint="eastAsia" w:ascii="宋体" w:hAnsi="宋体" w:eastAsia="宋体"/>
          <w:color w:val="auto"/>
          <w:sz w:val="24"/>
          <w:highlight w:val="none"/>
          <w:lang w:val="en-US" w:eastAsia="zh-CN"/>
        </w:rPr>
        <w:t>授权</w:t>
      </w:r>
      <w:r>
        <w:rPr>
          <w:rFonts w:hint="eastAsia" w:ascii="宋体" w:hAnsi="宋体" w:eastAsia="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授权委托代理人</w:t>
      </w:r>
      <w:r>
        <w:rPr>
          <w:rFonts w:hint="eastAsia" w:ascii="宋体" w:hAnsi="宋体" w:eastAsia="宋体"/>
          <w:color w:val="auto"/>
          <w:sz w:val="24"/>
          <w:highlight w:val="none"/>
          <w:u w:val="single"/>
          <w:lang w:val="en-US" w:eastAsia="zh-CN"/>
        </w:rPr>
        <w:t xml:space="preserve">姓名）  </w:t>
      </w:r>
      <w:r>
        <w:rPr>
          <w:rFonts w:hint="eastAsia" w:ascii="宋体" w:hAnsi="宋体" w:eastAsia="宋体"/>
          <w:color w:val="auto"/>
          <w:sz w:val="24"/>
          <w:highlight w:val="none"/>
          <w:lang w:val="en-US" w:eastAsia="zh-CN"/>
        </w:rPr>
        <w:t>为</w:t>
      </w:r>
      <w:r>
        <w:rPr>
          <w:rFonts w:hint="eastAsia" w:ascii="宋体" w:hAnsi="宋体"/>
          <w:color w:val="auto"/>
          <w:sz w:val="24"/>
          <w:highlight w:val="none"/>
          <w:lang w:val="en-US" w:eastAsia="zh-CN"/>
        </w:rPr>
        <w:t>授权委托代理人</w:t>
      </w:r>
      <w:r>
        <w:rPr>
          <w:rFonts w:hint="eastAsia" w:ascii="宋体" w:hAnsi="宋体" w:eastAsia="宋体"/>
          <w:color w:val="auto"/>
          <w:sz w:val="24"/>
          <w:highlight w:val="none"/>
          <w:lang w:val="en-US" w:eastAsia="zh-CN"/>
        </w:rPr>
        <w:t>，参加贵单位组织的</w:t>
      </w:r>
      <w:r>
        <w:rPr>
          <w:rFonts w:hint="eastAsia" w:ascii="宋体" w:hAnsi="宋体"/>
          <w:b/>
          <w:bCs/>
          <w:color w:val="auto"/>
          <w:sz w:val="24"/>
          <w:highlight w:val="none"/>
          <w:u w:val="single"/>
          <w:lang w:val="en-US" w:eastAsia="zh-CN"/>
        </w:rPr>
        <w:t>陪护椅换皮翻新项目</w:t>
      </w:r>
      <w:r>
        <w:rPr>
          <w:rFonts w:hint="eastAsia" w:ascii="宋体" w:hAnsi="宋体" w:eastAsia="宋体"/>
          <w:color w:val="auto"/>
          <w:sz w:val="24"/>
          <w:highlight w:val="none"/>
          <w:lang w:val="en-US" w:eastAsia="zh-CN"/>
        </w:rPr>
        <w:t>的采购活动，并代表我方全权办理针对上述项目的谈判、签约等具体事务和签署相关文件。我方对</w:t>
      </w:r>
      <w:r>
        <w:rPr>
          <w:rFonts w:hint="eastAsia" w:ascii="宋体" w:hAnsi="宋体"/>
          <w:color w:val="auto"/>
          <w:sz w:val="24"/>
          <w:highlight w:val="none"/>
          <w:lang w:val="en-US" w:eastAsia="zh-CN"/>
        </w:rPr>
        <w:t>授权委托代理人</w:t>
      </w:r>
      <w:r>
        <w:rPr>
          <w:rFonts w:hint="eastAsia" w:ascii="宋体" w:hAnsi="宋体" w:eastAsia="宋体"/>
          <w:color w:val="auto"/>
          <w:sz w:val="24"/>
          <w:highlight w:val="none"/>
          <w:lang w:val="en-US" w:eastAsia="zh-CN"/>
        </w:rPr>
        <w:t>的签字事项负全部责任。</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在撤销授权的书面通知以前，本授权书一直有效。</w:t>
      </w:r>
      <w:r>
        <w:rPr>
          <w:rFonts w:hint="eastAsia" w:ascii="宋体" w:hAnsi="宋体"/>
          <w:color w:val="auto"/>
          <w:sz w:val="24"/>
          <w:highlight w:val="none"/>
          <w:lang w:val="en-US" w:eastAsia="zh-CN"/>
        </w:rPr>
        <w:t>授权委托代理人</w:t>
      </w:r>
      <w:r>
        <w:rPr>
          <w:rFonts w:hint="eastAsia" w:ascii="宋体" w:hAnsi="宋体" w:eastAsia="宋体"/>
          <w:color w:val="auto"/>
          <w:sz w:val="24"/>
          <w:highlight w:val="none"/>
          <w:lang w:val="en-US" w:eastAsia="zh-CN"/>
        </w:rPr>
        <w:t>在授权委托书有效期内签署的所有文件不因授权的撤销而失效。</w:t>
      </w:r>
    </w:p>
    <w:p>
      <w:pPr>
        <w:shd w:val="clea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授权委托代理人</w:t>
      </w:r>
      <w:r>
        <w:rPr>
          <w:rFonts w:hint="eastAsia" w:ascii="宋体" w:hAnsi="宋体" w:eastAsia="宋体"/>
          <w:color w:val="auto"/>
          <w:sz w:val="24"/>
          <w:highlight w:val="none"/>
          <w:lang w:val="en-US" w:eastAsia="zh-CN"/>
        </w:rPr>
        <w:t>无转委托权，特此委托。</w:t>
      </w:r>
    </w:p>
    <w:p>
      <w:pPr>
        <w:shd w:val="clear"/>
        <w:spacing w:line="360" w:lineRule="auto"/>
        <w:rPr>
          <w:rFonts w:hint="eastAsia" w:ascii="宋体" w:hAnsi="宋体" w:eastAsia="宋体"/>
          <w:color w:val="auto"/>
          <w:sz w:val="24"/>
          <w:highlight w:val="none"/>
          <w:lang w:val="en-US" w:eastAsia="zh-CN"/>
        </w:rPr>
      </w:pP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法定代表人签字或盖章：</w:t>
      </w:r>
    </w:p>
    <w:p>
      <w:pPr>
        <w:shd w:val="clear"/>
        <w:spacing w:line="360" w:lineRule="auto"/>
        <w:rPr>
          <w:rFonts w:hint="eastAsia" w:ascii="宋体" w:hAnsi="宋体" w:eastAsia="宋体"/>
          <w:color w:val="auto"/>
          <w:sz w:val="24"/>
          <w:highlight w:val="none"/>
          <w:lang w:val="en-US" w:eastAsia="zh-CN"/>
        </w:rPr>
      </w:pP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供应商全称（公章）：                              日期：</w:t>
      </w:r>
    </w:p>
    <w:p>
      <w:pPr>
        <w:shd w:val="clear"/>
        <w:spacing w:line="360" w:lineRule="auto"/>
        <w:rPr>
          <w:rFonts w:hint="eastAsia" w:ascii="宋体" w:hAnsi="宋体" w:eastAsia="宋体"/>
          <w:color w:val="auto"/>
          <w:sz w:val="24"/>
          <w:highlight w:val="none"/>
          <w:lang w:val="en-US" w:eastAsia="zh-CN"/>
        </w:rPr>
      </w:pPr>
    </w:p>
    <w:p>
      <w:pPr>
        <w:shd w:val="clear"/>
        <w:spacing w:line="360" w:lineRule="auto"/>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附：</w:t>
      </w:r>
    </w:p>
    <w:tbl>
      <w:tblPr>
        <w:tblStyle w:val="22"/>
        <w:tblpPr w:leftFromText="180" w:rightFromText="180" w:vertAnchor="text" w:horzAnchor="page" w:tblpX="6002" w:tblpY="150"/>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b/>
                <w:color w:val="auto"/>
                <w:sz w:val="24"/>
                <w:highlight w:val="none"/>
              </w:rPr>
            </w:pPr>
            <w:r>
              <w:rPr>
                <w:rFonts w:hint="eastAsia" w:ascii="宋体"/>
                <w:b/>
                <w:color w:val="auto"/>
                <w:sz w:val="24"/>
                <w:highlight w:val="none"/>
              </w:rPr>
              <w:t>法定代表身份证复印件粘帖处</w:t>
            </w:r>
          </w:p>
        </w:tc>
      </w:tr>
    </w:tbl>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法定代表人姓名：</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传真：</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电话：</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详细通讯地址：</w:t>
      </w:r>
    </w:p>
    <w:p>
      <w:pPr>
        <w:shd w:val="clear"/>
        <w:spacing w:line="360" w:lineRule="auto"/>
        <w:rPr>
          <w:rFonts w:hint="eastAsia" w:ascii="宋体" w:hAnsi="宋体" w:eastAsia="宋体"/>
          <w:color w:val="auto"/>
          <w:sz w:val="24"/>
          <w:highlight w:val="none"/>
          <w:lang w:val="en-US" w:eastAsia="zh-CN"/>
        </w:rPr>
      </w:pPr>
    </w:p>
    <w:tbl>
      <w:tblPr>
        <w:tblStyle w:val="22"/>
        <w:tblpPr w:leftFromText="180" w:rightFromText="180" w:vertAnchor="text" w:horzAnchor="page" w:tblpX="6017" w:tblpY="37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授权委托代理人</w:t>
            </w:r>
            <w:r>
              <w:rPr>
                <w:rFonts w:hint="eastAsia" w:ascii="宋体" w:hAnsi="宋体" w:eastAsia="宋体"/>
                <w:b/>
                <w:bCs/>
                <w:color w:val="auto"/>
                <w:sz w:val="24"/>
                <w:highlight w:val="none"/>
                <w:lang w:val="en-US" w:eastAsia="zh-CN"/>
              </w:rPr>
              <w:t>身份证复印件粘帖处</w:t>
            </w:r>
          </w:p>
        </w:tc>
      </w:tr>
    </w:tbl>
    <w:p>
      <w:pPr>
        <w:shd w:val="clear"/>
        <w:spacing w:line="360" w:lineRule="auto"/>
        <w:rPr>
          <w:rFonts w:hint="eastAsia" w:ascii="宋体" w:hAnsi="宋体"/>
          <w:color w:val="auto"/>
          <w:sz w:val="24"/>
          <w:highlight w:val="none"/>
          <w:lang w:val="en-US" w:eastAsia="zh-CN"/>
        </w:rPr>
      </w:pPr>
    </w:p>
    <w:p>
      <w:pPr>
        <w:shd w:val="clea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授权委托代理人</w:t>
      </w:r>
      <w:r>
        <w:rPr>
          <w:rFonts w:hint="eastAsia" w:ascii="宋体" w:hAnsi="宋体" w:eastAsia="宋体"/>
          <w:color w:val="auto"/>
          <w:sz w:val="24"/>
          <w:highlight w:val="none"/>
          <w:lang w:val="en-US" w:eastAsia="zh-CN"/>
        </w:rPr>
        <w:t>姓名：</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职务：</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传真：</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电话：</w:t>
      </w:r>
    </w:p>
    <w:p>
      <w:pPr>
        <w:shd w:val="clea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详细通讯地址：</w:t>
      </w:r>
    </w:p>
    <w:p>
      <w:pPr>
        <w:shd w:val="clear" w:color="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附件4</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pStyle w:val="2"/>
        <w:rPr>
          <w:rFonts w:hint="eastAsia"/>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rPr>
      </w:pP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陪护椅换皮翻新项目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TZSLYY-01</w:t>
      </w:r>
      <w:r>
        <w:rPr>
          <w:rFonts w:hint="eastAsia" w:ascii="宋体" w:hAnsi="宋体" w:eastAsia="宋体" w:cs="宋体"/>
          <w:b w:val="0"/>
          <w:bCs w:val="0"/>
          <w:color w:val="auto"/>
          <w:sz w:val="24"/>
          <w:szCs w:val="32"/>
          <w:highlight w:val="none"/>
        </w:rPr>
        <w:t>）的投标活动，作如下承诺：</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我公司在参加本项目采购活动前，符合参与</w:t>
      </w:r>
      <w:r>
        <w:rPr>
          <w:rFonts w:hint="eastAsia" w:ascii="宋体" w:hAnsi="宋体" w:eastAsia="宋体" w:cs="宋体"/>
          <w:b w:val="0"/>
          <w:bCs w:val="0"/>
          <w:color w:val="auto"/>
          <w:sz w:val="24"/>
          <w:szCs w:val="32"/>
          <w:highlight w:val="none"/>
          <w:lang w:eastAsia="zh-CN"/>
        </w:rPr>
        <w:t>采购活动</w:t>
      </w:r>
      <w:r>
        <w:rPr>
          <w:rFonts w:hint="eastAsia" w:ascii="宋体" w:hAnsi="宋体" w:eastAsia="宋体" w:cs="宋体"/>
          <w:b w:val="0"/>
          <w:bCs w:val="0"/>
          <w:color w:val="auto"/>
          <w:sz w:val="24"/>
          <w:szCs w:val="32"/>
          <w:highlight w:val="none"/>
        </w:rPr>
        <w:t>的资格条件，有依法缴纳税收（享受免税政策的则无欠税）和社会保障资金的良好记录，不存在税收缴纳、社会保障等方面的失信记录。</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Style w:val="46"/>
          <w:rFonts w:hint="eastAsia" w:ascii="宋体" w:hAnsi="宋体"/>
          <w:b w:val="0"/>
          <w:i w:val="0"/>
          <w:caps w:val="0"/>
          <w:color w:val="auto"/>
          <w:spacing w:val="0"/>
          <w:w w:val="100"/>
          <w:kern w:val="2"/>
          <w:sz w:val="24"/>
          <w:szCs w:val="32"/>
          <w:highlight w:val="none"/>
          <w:lang w:val="en-US" w:eastAsia="zh-CN" w:bidi="ar-SA"/>
        </w:rPr>
        <w:t>（负责人）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陪护椅换皮翻新项目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TZSLYY-01</w:t>
      </w:r>
      <w:r>
        <w:rPr>
          <w:rFonts w:hint="eastAsia" w:ascii="宋体" w:hAnsi="宋体" w:eastAsia="宋体" w:cs="宋体"/>
          <w:b w:val="0"/>
          <w:bCs w:val="0"/>
          <w:color w:val="auto"/>
          <w:sz w:val="24"/>
          <w:szCs w:val="32"/>
          <w:highlight w:val="none"/>
          <w:u w:val="none"/>
        </w:rPr>
        <w:t>）的投标活动，作如下承诺：</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w:t>
      </w:r>
      <w:r>
        <w:rPr>
          <w:rFonts w:hint="eastAsia" w:ascii="宋体" w:hAnsi="宋体" w:eastAsia="宋体" w:cs="宋体"/>
          <w:b w:val="0"/>
          <w:bCs w:val="0"/>
          <w:color w:val="auto"/>
          <w:sz w:val="24"/>
          <w:szCs w:val="32"/>
          <w:highlight w:val="none"/>
          <w:u w:val="none"/>
          <w:lang w:eastAsia="zh-CN"/>
        </w:rPr>
        <w:t>采购活动</w:t>
      </w:r>
      <w:r>
        <w:rPr>
          <w:rFonts w:hint="eastAsia" w:ascii="宋体" w:hAnsi="宋体" w:eastAsia="宋体" w:cs="宋体"/>
          <w:b w:val="0"/>
          <w:bCs w:val="0"/>
          <w:color w:val="auto"/>
          <w:sz w:val="24"/>
          <w:szCs w:val="32"/>
          <w:highlight w:val="none"/>
          <w:u w:val="none"/>
        </w:rPr>
        <w:t>前，没有处于被责令停产、财产被接管、冻结或破产状态，具有足够的流动资金，有能力履行合同；我公司具有良好的商业信誉和健全的财务会计制度。</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lang w:val="zh-CN"/>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Style w:val="46"/>
          <w:rFonts w:hint="eastAsia" w:ascii="宋体" w:hAnsi="宋体"/>
          <w:b w:val="0"/>
          <w:i w:val="0"/>
          <w:caps w:val="0"/>
          <w:color w:val="auto"/>
          <w:spacing w:val="0"/>
          <w:w w:val="100"/>
          <w:kern w:val="2"/>
          <w:sz w:val="24"/>
          <w:szCs w:val="32"/>
          <w:highlight w:val="none"/>
          <w:lang w:val="en-US" w:eastAsia="zh-CN" w:bidi="ar-SA"/>
        </w:rPr>
        <w:t>（负责人）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w:t>
      </w: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w:t>
      </w:r>
      <w:r>
        <w:rPr>
          <w:rFonts w:hint="eastAsia" w:ascii="宋体" w:hAnsi="宋体" w:eastAsia="宋体" w:cs="宋体"/>
          <w:b/>
          <w:bCs/>
          <w:color w:val="auto"/>
          <w:sz w:val="28"/>
          <w:szCs w:val="36"/>
          <w:highlight w:val="none"/>
          <w:lang w:eastAsia="zh-CN"/>
        </w:rPr>
        <w:t>采购活动</w:t>
      </w:r>
      <w:r>
        <w:rPr>
          <w:rFonts w:hint="eastAsia" w:ascii="宋体" w:hAnsi="宋体" w:eastAsia="宋体" w:cs="宋体"/>
          <w:b/>
          <w:bCs/>
          <w:color w:val="auto"/>
          <w:sz w:val="28"/>
          <w:szCs w:val="36"/>
          <w:highlight w:val="none"/>
        </w:rPr>
        <w:t>前3年内在经营活动中没有重大违法记录的书面声明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w:t>
      </w:r>
      <w:r>
        <w:rPr>
          <w:rFonts w:hint="eastAsia" w:ascii="宋体" w:hAnsi="宋体" w:eastAsia="宋体" w:cs="宋体"/>
          <w:b w:val="0"/>
          <w:bCs w:val="0"/>
          <w:color w:val="auto"/>
          <w:sz w:val="24"/>
          <w:szCs w:val="32"/>
          <w:highlight w:val="none"/>
          <w:lang w:eastAsia="zh-CN"/>
        </w:rPr>
        <w:t>采购活动</w:t>
      </w:r>
      <w:r>
        <w:rPr>
          <w:rFonts w:hint="eastAsia" w:ascii="宋体" w:hAnsi="宋体" w:eastAsia="宋体" w:cs="宋体"/>
          <w:b w:val="0"/>
          <w:bCs w:val="0"/>
          <w:color w:val="auto"/>
          <w:sz w:val="24"/>
          <w:szCs w:val="32"/>
          <w:highlight w:val="none"/>
        </w:rPr>
        <w:t>前三年内，在经营活动中</w:t>
      </w: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Style w:val="46"/>
          <w:rFonts w:hint="eastAsia" w:ascii="宋体" w:hAnsi="宋体"/>
          <w:b w:val="0"/>
          <w:i w:val="0"/>
          <w:caps w:val="0"/>
          <w:color w:val="auto"/>
          <w:spacing w:val="0"/>
          <w:w w:val="100"/>
          <w:kern w:val="2"/>
          <w:sz w:val="24"/>
          <w:szCs w:val="32"/>
          <w:highlight w:val="none"/>
          <w:lang w:val="en-US" w:eastAsia="zh-CN" w:bidi="ar-SA"/>
        </w:rPr>
        <w:t>（负责人）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color="auto"/>
        <w:spacing w:line="360" w:lineRule="auto"/>
        <w:jc w:val="both"/>
        <w:rPr>
          <w:rFonts w:hint="eastAsia" w:ascii="宋体" w:hAnsi="宋体" w:eastAsia="宋体" w:cs="宋体"/>
          <w:b w:val="0"/>
          <w:bCs w:val="0"/>
          <w:color w:val="auto"/>
          <w:sz w:val="24"/>
          <w:szCs w:val="32"/>
          <w:highlight w:val="none"/>
        </w:rPr>
      </w:pPr>
    </w:p>
    <w:p>
      <w:pPr>
        <w:shd w:val="clear"/>
        <w:spacing w:line="360" w:lineRule="auto"/>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8</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 xml:space="preserve">  供应商基本情况表</w:t>
      </w:r>
    </w:p>
    <w:tbl>
      <w:tblPr>
        <w:tblStyle w:val="22"/>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23"/>
        <w:gridCol w:w="838"/>
        <w:gridCol w:w="72"/>
        <w:gridCol w:w="1163"/>
        <w:gridCol w:w="98"/>
        <w:gridCol w:w="1079"/>
        <w:gridCol w:w="339"/>
        <w:gridCol w:w="1276"/>
        <w:gridCol w:w="386"/>
        <w:gridCol w:w="1232"/>
        <w:gridCol w:w="14"/>
        <w:gridCol w:w="90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212" w:hRule="atLeast"/>
          <w:jc w:val="center"/>
        </w:trPr>
        <w:tc>
          <w:tcPr>
            <w:tcW w:w="674"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73" w:type="dxa"/>
            <w:gridSpan w:val="6"/>
            <w:vAlign w:val="center"/>
          </w:tcPr>
          <w:p>
            <w:pPr>
              <w:shd w:val="clear"/>
              <w:bidi w:val="0"/>
              <w:jc w:val="center"/>
              <w:rPr>
                <w:rFonts w:hint="eastAsia" w:ascii="宋体" w:hAnsi="宋体" w:eastAsia="宋体" w:cs="宋体"/>
                <w:color w:val="auto"/>
                <w:sz w:val="24"/>
                <w:szCs w:val="24"/>
                <w:highlight w:val="none"/>
              </w:rPr>
            </w:pPr>
          </w:p>
        </w:tc>
        <w:tc>
          <w:tcPr>
            <w:tcW w:w="2001" w:type="dxa"/>
            <w:gridSpan w:val="3"/>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151" w:type="dxa"/>
            <w:gridSpan w:val="3"/>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5" w:hRule="atLeast"/>
          <w:jc w:val="center"/>
        </w:trPr>
        <w:tc>
          <w:tcPr>
            <w:tcW w:w="674"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973" w:type="dxa"/>
            <w:gridSpan w:val="6"/>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2001" w:type="dxa"/>
            <w:gridSpan w:val="3"/>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51" w:type="dxa"/>
            <w:gridSpan w:val="3"/>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30" w:hRule="atLeast"/>
          <w:jc w:val="center"/>
        </w:trPr>
        <w:tc>
          <w:tcPr>
            <w:tcW w:w="674" w:type="dxa"/>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股东姓名</w:t>
            </w:r>
          </w:p>
        </w:tc>
        <w:tc>
          <w:tcPr>
            <w:tcW w:w="723" w:type="dxa"/>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910" w:type="dxa"/>
            <w:gridSpan w:val="2"/>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股权结构（%）</w:t>
            </w:r>
          </w:p>
        </w:tc>
        <w:tc>
          <w:tcPr>
            <w:tcW w:w="2340" w:type="dxa"/>
            <w:gridSpan w:val="3"/>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tc>
        <w:tc>
          <w:tcPr>
            <w:tcW w:w="2001" w:type="dxa"/>
            <w:gridSpan w:val="3"/>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股东关系</w:t>
            </w:r>
          </w:p>
        </w:tc>
        <w:tc>
          <w:tcPr>
            <w:tcW w:w="2151" w:type="dxa"/>
            <w:gridSpan w:val="3"/>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40" w:hRule="atLeast"/>
          <w:jc w:val="center"/>
        </w:trPr>
        <w:tc>
          <w:tcPr>
            <w:tcW w:w="674" w:type="dxa"/>
            <w:vMerge w:val="restart"/>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联系人姓名</w:t>
            </w:r>
          </w:p>
        </w:tc>
        <w:tc>
          <w:tcPr>
            <w:tcW w:w="723" w:type="dxa"/>
            <w:vMerge w:val="restart"/>
            <w:tcBorders>
              <w:top w:val="nil"/>
            </w:tcBorders>
            <w:vAlign w:val="center"/>
          </w:tcPr>
          <w:p>
            <w:pPr>
              <w:shd w:val="clear"/>
              <w:bidi w:val="0"/>
              <w:jc w:val="center"/>
              <w:rPr>
                <w:rFonts w:hint="eastAsia" w:ascii="宋体" w:hAnsi="宋体" w:eastAsia="宋体" w:cs="宋体"/>
                <w:color w:val="auto"/>
                <w:sz w:val="24"/>
                <w:szCs w:val="24"/>
                <w:highlight w:val="none"/>
              </w:rPr>
            </w:pPr>
          </w:p>
        </w:tc>
        <w:tc>
          <w:tcPr>
            <w:tcW w:w="910" w:type="dxa"/>
            <w:gridSpan w:val="2"/>
            <w:tcBorders>
              <w:top w:val="nil"/>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40" w:type="dxa"/>
            <w:gridSpan w:val="3"/>
            <w:tcBorders>
              <w:top w:val="nil"/>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tc>
        <w:tc>
          <w:tcPr>
            <w:tcW w:w="2001" w:type="dxa"/>
            <w:gridSpan w:val="3"/>
            <w:vMerge w:val="restart"/>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51" w:type="dxa"/>
            <w:gridSpan w:val="3"/>
            <w:vMerge w:val="restart"/>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49" w:hRule="atLeast"/>
          <w:jc w:val="center"/>
        </w:trPr>
        <w:tc>
          <w:tcPr>
            <w:tcW w:w="674" w:type="dxa"/>
            <w:vMerge w:val="continue"/>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723" w:type="dxa"/>
            <w:vMerge w:val="continue"/>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910" w:type="dxa"/>
            <w:gridSpan w:val="2"/>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2340" w:type="dxa"/>
            <w:gridSpan w:val="3"/>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2001" w:type="dxa"/>
            <w:gridSpan w:val="3"/>
            <w:vMerge w:val="continue"/>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2151" w:type="dxa"/>
            <w:gridSpan w:val="3"/>
            <w:vMerge w:val="continue"/>
            <w:tcBorders>
              <w:bottom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5" w:hRule="atLeast"/>
          <w:jc w:val="center"/>
        </w:trPr>
        <w:tc>
          <w:tcPr>
            <w:tcW w:w="674" w:type="dxa"/>
            <w:vMerge w:val="restart"/>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23" w:type="dxa"/>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w:t>
            </w:r>
          </w:p>
        </w:tc>
        <w:tc>
          <w:tcPr>
            <w:tcW w:w="910" w:type="dxa"/>
            <w:gridSpan w:val="2"/>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p>
        </w:tc>
        <w:tc>
          <w:tcPr>
            <w:tcW w:w="1163" w:type="dxa"/>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具备大专以上学历人数</w:t>
            </w:r>
          </w:p>
        </w:tc>
        <w:tc>
          <w:tcPr>
            <w:tcW w:w="1177" w:type="dxa"/>
            <w:gridSpan w:val="2"/>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tc>
        <w:tc>
          <w:tcPr>
            <w:tcW w:w="2001" w:type="dxa"/>
            <w:gridSpan w:val="3"/>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国家授予技术职称人数</w:t>
            </w:r>
          </w:p>
        </w:tc>
        <w:tc>
          <w:tcPr>
            <w:tcW w:w="2151" w:type="dxa"/>
            <w:gridSpan w:val="3"/>
            <w:tcBorders>
              <w:top w:val="single" w:color="auto" w:sz="4" w:space="0"/>
            </w:tcBorders>
            <w:vAlign w:val="center"/>
          </w:tcPr>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448"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723"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910" w:type="dxa"/>
            <w:gridSpan w:val="2"/>
            <w:vAlign w:val="center"/>
          </w:tcPr>
          <w:p>
            <w:pPr>
              <w:shd w:val="clear"/>
              <w:bidi w:val="0"/>
              <w:jc w:val="center"/>
              <w:rPr>
                <w:rFonts w:hint="eastAsia" w:ascii="宋体" w:hAnsi="宋体" w:eastAsia="宋体" w:cs="宋体"/>
                <w:color w:val="auto"/>
                <w:sz w:val="24"/>
                <w:szCs w:val="24"/>
                <w:highlight w:val="none"/>
              </w:rPr>
            </w:pPr>
          </w:p>
        </w:tc>
        <w:tc>
          <w:tcPr>
            <w:tcW w:w="1163"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1177"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w:t>
            </w:r>
          </w:p>
          <w:p>
            <w:pPr>
              <w:shd w:val="clea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租赁</w:t>
            </w:r>
          </w:p>
        </w:tc>
        <w:tc>
          <w:tcPr>
            <w:tcW w:w="2001" w:type="dxa"/>
            <w:gridSpan w:val="3"/>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生产经营场所及场所的设施与设备</w:t>
            </w:r>
          </w:p>
        </w:tc>
        <w:tc>
          <w:tcPr>
            <w:tcW w:w="2151" w:type="dxa"/>
            <w:gridSpan w:val="3"/>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5"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723"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10" w:type="dxa"/>
            <w:gridSpan w:val="2"/>
            <w:vAlign w:val="center"/>
          </w:tcPr>
          <w:p>
            <w:pPr>
              <w:shd w:val="clear"/>
              <w:bidi w:val="0"/>
              <w:jc w:val="center"/>
              <w:rPr>
                <w:rFonts w:hint="eastAsia" w:ascii="宋体" w:hAnsi="宋体" w:eastAsia="宋体" w:cs="宋体"/>
                <w:color w:val="auto"/>
                <w:sz w:val="24"/>
                <w:szCs w:val="24"/>
                <w:highlight w:val="none"/>
              </w:rPr>
            </w:pPr>
          </w:p>
        </w:tc>
        <w:tc>
          <w:tcPr>
            <w:tcW w:w="1163"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注册发证机关</w:t>
            </w:r>
          </w:p>
        </w:tc>
        <w:tc>
          <w:tcPr>
            <w:tcW w:w="3178" w:type="dxa"/>
            <w:gridSpan w:val="5"/>
            <w:vAlign w:val="center"/>
          </w:tcPr>
          <w:p>
            <w:pPr>
              <w:shd w:val="clear"/>
              <w:bidi w:val="0"/>
              <w:jc w:val="center"/>
              <w:rPr>
                <w:rFonts w:hint="eastAsia" w:ascii="宋体" w:hAnsi="宋体" w:eastAsia="宋体" w:cs="宋体"/>
                <w:color w:val="auto"/>
                <w:sz w:val="24"/>
                <w:szCs w:val="24"/>
                <w:highlight w:val="none"/>
              </w:rPr>
            </w:pPr>
          </w:p>
          <w:p>
            <w:pPr>
              <w:shd w:val="clear"/>
              <w:bidi w:val="0"/>
              <w:jc w:val="center"/>
              <w:rPr>
                <w:rFonts w:hint="eastAsia" w:ascii="宋体" w:hAnsi="宋体" w:eastAsia="宋体" w:cs="宋体"/>
                <w:color w:val="auto"/>
                <w:sz w:val="24"/>
                <w:szCs w:val="24"/>
                <w:highlight w:val="none"/>
              </w:rPr>
            </w:pPr>
          </w:p>
        </w:tc>
        <w:tc>
          <w:tcPr>
            <w:tcW w:w="1246"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公司成立时间</w:t>
            </w:r>
          </w:p>
        </w:tc>
        <w:tc>
          <w:tcPr>
            <w:tcW w:w="905" w:type="dxa"/>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723"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核准经营范围</w:t>
            </w:r>
          </w:p>
        </w:tc>
        <w:tc>
          <w:tcPr>
            <w:tcW w:w="7402" w:type="dxa"/>
            <w:gridSpan w:val="11"/>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40"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8125" w:type="dxa"/>
            <w:gridSpan w:val="1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63" w:hRule="atLeast"/>
          <w:jc w:val="center"/>
        </w:trPr>
        <w:tc>
          <w:tcPr>
            <w:tcW w:w="674" w:type="dxa"/>
            <w:vMerge w:val="restart"/>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企业有关资质获证情况</w:t>
            </w:r>
          </w:p>
        </w:tc>
        <w:tc>
          <w:tcPr>
            <w:tcW w:w="1561" w:type="dxa"/>
            <w:gridSpan w:val="2"/>
            <w:vMerge w:val="restart"/>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产品生产许可证情况（对需获得生产许可证的产品要填写此栏）</w:t>
            </w:r>
          </w:p>
        </w:tc>
        <w:tc>
          <w:tcPr>
            <w:tcW w:w="1333" w:type="dxa"/>
            <w:gridSpan w:val="3"/>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18"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276" w:type="dxa"/>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18"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发证时间</w:t>
            </w:r>
          </w:p>
        </w:tc>
        <w:tc>
          <w:tcPr>
            <w:tcW w:w="919"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0"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1561" w:type="dxa"/>
            <w:gridSpan w:val="2"/>
            <w:vMerge w:val="continue"/>
            <w:vAlign w:val="center"/>
          </w:tcPr>
          <w:p>
            <w:pPr>
              <w:shd w:val="clear"/>
              <w:bidi w:val="0"/>
              <w:jc w:val="center"/>
              <w:rPr>
                <w:rFonts w:hint="eastAsia" w:ascii="宋体" w:hAnsi="宋体" w:eastAsia="宋体" w:cs="宋体"/>
                <w:color w:val="auto"/>
                <w:sz w:val="24"/>
                <w:szCs w:val="24"/>
                <w:highlight w:val="none"/>
              </w:rPr>
            </w:pPr>
          </w:p>
        </w:tc>
        <w:tc>
          <w:tcPr>
            <w:tcW w:w="1333" w:type="dxa"/>
            <w:gridSpan w:val="3"/>
            <w:vAlign w:val="center"/>
          </w:tcPr>
          <w:p>
            <w:pPr>
              <w:shd w:val="clear"/>
              <w:bidi w:val="0"/>
              <w:jc w:val="center"/>
              <w:rPr>
                <w:rFonts w:hint="eastAsia" w:ascii="宋体" w:hAnsi="宋体" w:eastAsia="宋体" w:cs="宋体"/>
                <w:color w:val="auto"/>
                <w:sz w:val="24"/>
                <w:szCs w:val="24"/>
                <w:highlight w:val="none"/>
              </w:rPr>
            </w:pPr>
          </w:p>
        </w:tc>
        <w:tc>
          <w:tcPr>
            <w:tcW w:w="1418" w:type="dxa"/>
            <w:gridSpan w:val="2"/>
            <w:vAlign w:val="center"/>
          </w:tcPr>
          <w:p>
            <w:pPr>
              <w:shd w:val="clear"/>
              <w:bidi w:val="0"/>
              <w:jc w:val="center"/>
              <w:rPr>
                <w:rFonts w:hint="eastAsia" w:ascii="宋体" w:hAnsi="宋体" w:eastAsia="宋体" w:cs="宋体"/>
                <w:color w:val="auto"/>
                <w:sz w:val="24"/>
                <w:szCs w:val="24"/>
                <w:highlight w:val="none"/>
              </w:rPr>
            </w:pPr>
          </w:p>
        </w:tc>
        <w:tc>
          <w:tcPr>
            <w:tcW w:w="1276" w:type="dxa"/>
            <w:vAlign w:val="center"/>
          </w:tcPr>
          <w:p>
            <w:pPr>
              <w:shd w:val="clear"/>
              <w:bidi w:val="0"/>
              <w:jc w:val="center"/>
              <w:rPr>
                <w:rFonts w:hint="eastAsia" w:ascii="宋体" w:hAnsi="宋体" w:eastAsia="宋体" w:cs="宋体"/>
                <w:color w:val="auto"/>
                <w:sz w:val="24"/>
                <w:szCs w:val="24"/>
                <w:highlight w:val="none"/>
              </w:rPr>
            </w:pPr>
          </w:p>
        </w:tc>
        <w:tc>
          <w:tcPr>
            <w:tcW w:w="2537" w:type="dxa"/>
            <w:gridSpan w:val="4"/>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1561"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企业通过质量体系、环保体系、计量等认证情况</w:t>
            </w:r>
          </w:p>
        </w:tc>
        <w:tc>
          <w:tcPr>
            <w:tcW w:w="6578" w:type="dxa"/>
            <w:gridSpan w:val="11"/>
            <w:vAlign w:val="center"/>
          </w:tcPr>
          <w:p>
            <w:pPr>
              <w:shd w:val="clear"/>
              <w:bidi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74" w:type="dxa"/>
            <w:vMerge w:val="continue"/>
            <w:vAlign w:val="center"/>
          </w:tcPr>
          <w:p>
            <w:pPr>
              <w:shd w:val="clear"/>
              <w:bidi w:val="0"/>
              <w:jc w:val="center"/>
              <w:rPr>
                <w:rFonts w:hint="eastAsia" w:ascii="宋体" w:hAnsi="宋体" w:eastAsia="宋体" w:cs="宋体"/>
                <w:color w:val="auto"/>
                <w:sz w:val="24"/>
                <w:szCs w:val="24"/>
                <w:highlight w:val="none"/>
              </w:rPr>
            </w:pPr>
          </w:p>
        </w:tc>
        <w:tc>
          <w:tcPr>
            <w:tcW w:w="1561" w:type="dxa"/>
            <w:gridSpan w:val="2"/>
            <w:vAlign w:val="center"/>
          </w:tcPr>
          <w:p>
            <w:pPr>
              <w:shd w:val="clea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企业获得专利情况</w:t>
            </w:r>
          </w:p>
        </w:tc>
        <w:tc>
          <w:tcPr>
            <w:tcW w:w="6578" w:type="dxa"/>
            <w:gridSpan w:val="11"/>
            <w:vAlign w:val="center"/>
          </w:tcPr>
          <w:p>
            <w:pPr>
              <w:shd w:val="clear"/>
              <w:bidi w:val="0"/>
              <w:jc w:val="center"/>
              <w:rPr>
                <w:rFonts w:hint="eastAsia" w:ascii="宋体" w:hAnsi="宋体" w:eastAsia="宋体" w:cs="宋体"/>
                <w:color w:val="auto"/>
                <w:sz w:val="24"/>
                <w:szCs w:val="24"/>
                <w:highlight w:val="none"/>
              </w:rPr>
            </w:pPr>
          </w:p>
        </w:tc>
      </w:tr>
    </w:tbl>
    <w:p>
      <w:pPr>
        <w:shd w:val="clear"/>
        <w:spacing w:line="360" w:lineRule="auto"/>
        <w:rPr>
          <w:b/>
          <w:bCs/>
          <w:color w:val="auto"/>
          <w:sz w:val="24"/>
          <w:szCs w:val="32"/>
          <w:highlight w:val="none"/>
        </w:rPr>
      </w:pPr>
      <w:r>
        <w:rPr>
          <w:rFonts w:hint="eastAsia"/>
          <w:b/>
          <w:bCs/>
          <w:color w:val="auto"/>
          <w:sz w:val="24"/>
          <w:szCs w:val="32"/>
          <w:highlight w:val="none"/>
        </w:rPr>
        <w:t>要求：</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9</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项目实施人员一览表（第 标）</w:t>
      </w:r>
    </w:p>
    <w:p>
      <w:pPr>
        <w:shd w:val="clear"/>
        <w:spacing w:line="360" w:lineRule="auto"/>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bl>
    <w:p>
      <w:pPr>
        <w:shd w:val="clear"/>
        <w:spacing w:line="360" w:lineRule="auto"/>
        <w:rPr>
          <w:rFonts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要求</w:t>
      </w:r>
      <w:r>
        <w:rPr>
          <w:rFonts w:hint="eastAsia" w:ascii="宋体" w:hAnsi="宋体" w:eastAsia="宋体" w:cs="宋体"/>
          <w:b/>
          <w:bCs/>
          <w:color w:val="auto"/>
          <w:sz w:val="24"/>
          <w:szCs w:val="32"/>
          <w:highlight w:val="none"/>
          <w:lang w:eastAsia="zh-CN"/>
        </w:rPr>
        <w:t>：</w:t>
      </w:r>
    </w:p>
    <w:p>
      <w:pPr>
        <w:shd w:val="clea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w:t>
      </w:r>
      <w:r>
        <w:rPr>
          <w:rFonts w:hint="eastAsia" w:ascii="宋体" w:hAnsi="宋体" w:eastAsia="宋体" w:cs="宋体"/>
          <w:color w:val="auto"/>
          <w:sz w:val="24"/>
          <w:szCs w:val="32"/>
          <w:highlight w:val="none"/>
          <w:lang w:eastAsia="zh-CN"/>
        </w:rPr>
        <w:t>供应商</w:t>
      </w:r>
      <w:r>
        <w:rPr>
          <w:rFonts w:hint="eastAsia" w:ascii="宋体" w:hAnsi="宋体" w:eastAsia="宋体" w:cs="宋体"/>
          <w:color w:val="auto"/>
          <w:sz w:val="24"/>
          <w:szCs w:val="32"/>
          <w:highlight w:val="none"/>
        </w:rPr>
        <w:t>的实际情况，可根据本表格式自行划表填写。</w:t>
      </w:r>
    </w:p>
    <w:p>
      <w:pPr>
        <w:shd w:val="clea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pPr>
        <w:shd w:val="clea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3.出具上述人员在本单位服务的外部证明，如：</w:t>
      </w:r>
      <w:r>
        <w:rPr>
          <w:rFonts w:hint="eastAsia" w:ascii="宋体" w:hAnsi="宋体" w:eastAsia="宋体" w:cs="宋体"/>
          <w:color w:val="auto"/>
          <w:sz w:val="24"/>
          <w:szCs w:val="32"/>
          <w:highlight w:val="none"/>
          <w:lang w:eastAsia="zh-CN"/>
        </w:rPr>
        <w:t>谈判</w:t>
      </w:r>
      <w:r>
        <w:rPr>
          <w:rFonts w:ascii="宋体" w:hAnsi="宋体" w:eastAsia="宋体" w:cs="宋体"/>
          <w:color w:val="auto"/>
          <w:sz w:val="24"/>
          <w:szCs w:val="32"/>
          <w:highlight w:val="none"/>
        </w:rPr>
        <w:t>截止日之前六个月以内的</w:t>
      </w:r>
      <w:r>
        <w:rPr>
          <w:rFonts w:hint="eastAsia" w:ascii="宋体" w:hAnsi="宋体" w:eastAsia="宋体" w:cs="宋体"/>
          <w:color w:val="auto"/>
          <w:sz w:val="24"/>
          <w:szCs w:val="32"/>
          <w:highlight w:val="none"/>
        </w:rPr>
        <w:t>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hint="eastAsia" w:ascii="宋体" w:hAnsi="宋体" w:eastAsia="宋体"/>
          <w:color w:val="auto"/>
          <w:sz w:val="24"/>
          <w:highlight w:val="none"/>
          <w:lang w:val="en-US" w:eastAsia="zh-CN"/>
        </w:rPr>
      </w:pPr>
    </w:p>
    <w:p>
      <w:pPr>
        <w:shd w:val="clea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10</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项目负责人资格情况表</w:t>
      </w:r>
    </w:p>
    <w:p>
      <w:pPr>
        <w:shd w:val="clea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rPr>
            </w:pPr>
            <w:r>
              <w:rPr>
                <w:rFonts w:hint="eastAsia"/>
                <w:b/>
                <w:bCs/>
                <w:color w:val="auto"/>
                <w:sz w:val="24"/>
                <w:szCs w:val="24"/>
                <w:highlight w:val="none"/>
              </w:rPr>
              <w:t>注：业绩证明应提供旁证材料</w:t>
            </w:r>
          </w:p>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rPr>
              <w:t>（供货合同或</w:t>
            </w:r>
            <w:r>
              <w:rPr>
                <w:rFonts w:hint="eastAsia"/>
                <w:b/>
                <w:bCs/>
                <w:color w:val="auto"/>
                <w:sz w:val="24"/>
                <w:szCs w:val="24"/>
                <w:highlight w:val="none"/>
                <w:lang w:eastAsia="zh-CN"/>
              </w:rPr>
              <w:t>成交</w:t>
            </w:r>
            <w:r>
              <w:rPr>
                <w:rFonts w:hint="eastAsia"/>
                <w:b/>
                <w:bCs/>
                <w:color w:val="auto"/>
                <w:sz w:val="24"/>
                <w:szCs w:val="24"/>
                <w:highlight w:val="none"/>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bidi w:val="0"/>
              <w:spacing w:line="360" w:lineRule="auto"/>
              <w:jc w:val="center"/>
              <w:rPr>
                <w:b/>
                <w:bCs/>
                <w:color w:val="auto"/>
                <w:sz w:val="24"/>
                <w:szCs w:val="24"/>
                <w:highlight w:val="none"/>
                <w:lang w:val="zh-CN"/>
              </w:rPr>
            </w:pPr>
          </w:p>
        </w:tc>
      </w:tr>
    </w:tbl>
    <w:p>
      <w:pPr>
        <w:shd w:val="clear"/>
        <w:spacing w:line="360" w:lineRule="auto"/>
        <w:rPr>
          <w:rFonts w:ascii="宋体" w:hAnsi="宋体" w:cs="宋体"/>
          <w:color w:val="auto"/>
          <w:sz w:val="24"/>
          <w:szCs w:val="32"/>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12"/>
        <w:rPr>
          <w:rFonts w:ascii="宋体" w:hAnsi="宋体" w:cs="宋体"/>
          <w:color w:val="auto"/>
          <w:sz w:val="24"/>
          <w:szCs w:val="32"/>
          <w:highlight w:val="none"/>
        </w:rPr>
      </w:pPr>
    </w:p>
    <w:p>
      <w:pPr>
        <w:pStyle w:val="19"/>
        <w:rPr>
          <w:color w:val="auto"/>
          <w:highlight w:val="none"/>
        </w:rPr>
      </w:pPr>
    </w:p>
    <w:p>
      <w:pPr>
        <w:shd w:val="clear"/>
        <w:spacing w:line="360" w:lineRule="auto"/>
        <w:rPr>
          <w:rFonts w:hint="default" w:ascii="宋体" w:hAnsi="宋体" w:eastAsia="宋体"/>
          <w:b/>
          <w:color w:val="auto"/>
          <w:sz w:val="28"/>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11</w:t>
      </w:r>
    </w:p>
    <w:p>
      <w:pPr>
        <w:shd w:val="clear"/>
        <w:spacing w:line="360" w:lineRule="auto"/>
        <w:jc w:val="center"/>
        <w:rPr>
          <w:rFonts w:hint="eastAsia" w:ascii="宋体" w:hAnsi="宋体" w:eastAsia="宋体"/>
          <w:b/>
          <w:color w:val="auto"/>
          <w:sz w:val="32"/>
          <w:szCs w:val="28"/>
          <w:highlight w:val="none"/>
          <w:lang w:val="zh-CN"/>
        </w:rPr>
      </w:pPr>
      <w:r>
        <w:rPr>
          <w:rFonts w:hint="eastAsia" w:ascii="宋体" w:hAnsi="宋体" w:eastAsia="宋体"/>
          <w:b/>
          <w:color w:val="auto"/>
          <w:sz w:val="32"/>
          <w:szCs w:val="28"/>
          <w:highlight w:val="none"/>
          <w:lang w:val="zh-CN"/>
        </w:rPr>
        <w:t>商务及技术响应表</w:t>
      </w:r>
    </w:p>
    <w:p>
      <w:pPr>
        <w:shd w:val="clear"/>
        <w:spacing w:line="360" w:lineRule="auto"/>
        <w:ind w:firstLine="240" w:firstLineChars="1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项目名称及编号：</w:t>
      </w:r>
    </w:p>
    <w:tbl>
      <w:tblPr>
        <w:tblStyle w:val="22"/>
        <w:tblW w:w="8792" w:type="dxa"/>
        <w:jc w:val="center"/>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lang w:eastAsia="zh-CN"/>
              </w:rPr>
              <w:t>谈判文件</w:t>
            </w:r>
            <w:r>
              <w:rPr>
                <w:rFonts w:hint="eastAsia"/>
                <w:color w:val="auto"/>
                <w:sz w:val="24"/>
                <w:szCs w:val="24"/>
                <w:highlight w:val="none"/>
              </w:rPr>
              <w:t>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lang w:eastAsia="zh-CN"/>
              </w:rPr>
              <w:t>谈判</w:t>
            </w:r>
            <w:r>
              <w:rPr>
                <w:rFonts w:hint="eastAsia"/>
                <w:color w:val="auto"/>
                <w:sz w:val="24"/>
                <w:szCs w:val="24"/>
                <w:highlight w:val="none"/>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rPr>
              <w:t>偏离情况</w:t>
            </w:r>
          </w:p>
        </w:tc>
      </w:tr>
      <w:tr>
        <w:tblPrEx>
          <w:tblCellMar>
            <w:top w:w="0" w:type="dxa"/>
            <w:left w:w="108" w:type="dxa"/>
            <w:bottom w:w="0" w:type="dxa"/>
            <w:right w:w="108" w:type="dxa"/>
          </w:tblCellMar>
        </w:tblPrEx>
        <w:trPr>
          <w:trHeight w:val="519" w:hRule="atLeast"/>
          <w:jc w:val="center"/>
        </w:trPr>
        <w:tc>
          <w:tcPr>
            <w:tcW w:w="1202" w:type="dxa"/>
            <w:vMerge w:val="restart"/>
            <w:tcBorders>
              <w:top w:val="single" w:color="auto" w:sz="4" w:space="0"/>
              <w:left w:val="single" w:color="auto" w:sz="4" w:space="0"/>
              <w:right w:val="single" w:color="auto" w:sz="4" w:space="0"/>
            </w:tcBorders>
            <w:vAlign w:val="center"/>
          </w:tcPr>
          <w:p>
            <w:pPr>
              <w:shd w:val="clear"/>
              <w:bidi w:val="0"/>
              <w:spacing w:line="360" w:lineRule="auto"/>
              <w:jc w:val="center"/>
              <w:rPr>
                <w:rFonts w:hint="eastAsia"/>
                <w:color w:val="auto"/>
                <w:sz w:val="24"/>
                <w:szCs w:val="24"/>
                <w:highlight w:val="none"/>
              </w:rPr>
            </w:pPr>
            <w:r>
              <w:rPr>
                <w:rFonts w:hint="eastAsia"/>
                <w:color w:val="auto"/>
                <w:sz w:val="24"/>
                <w:szCs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质保期</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r>
      <w:tr>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r>
      <w:tr>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Times New Roman"/>
                <w:color w:val="auto"/>
                <w:kern w:val="2"/>
                <w:sz w:val="24"/>
                <w:szCs w:val="24"/>
                <w:highlight w:val="none"/>
                <w:lang w:val="en-US" w:eastAsia="zh-CN" w:bidi="ar-SA"/>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r>
      <w:tr>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bidi w:val="0"/>
              <w:spacing w:line="360" w:lineRule="auto"/>
              <w:jc w:val="center"/>
              <w:rPr>
                <w:color w:val="auto"/>
                <w:sz w:val="24"/>
                <w:szCs w:val="24"/>
                <w:highlight w:val="none"/>
              </w:rPr>
            </w:pPr>
          </w:p>
        </w:tc>
      </w:tr>
    </w:tbl>
    <w:p>
      <w:pPr>
        <w:shd w:val="clear"/>
        <w:spacing w:line="360" w:lineRule="auto"/>
        <w:rPr>
          <w:rFonts w:ascii="宋体" w:hAnsi="宋体" w:cs="宋体"/>
          <w:color w:val="auto"/>
          <w:sz w:val="24"/>
          <w:szCs w:val="32"/>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12</w:t>
      </w:r>
    </w:p>
    <w:p>
      <w:pPr>
        <w:shd w:val="clear"/>
        <w:spacing w:line="360" w:lineRule="auto"/>
        <w:jc w:val="center"/>
        <w:rPr>
          <w:rFonts w:ascii="宋体" w:hAnsi="宋体" w:cs="宋体"/>
          <w:color w:val="auto"/>
          <w:sz w:val="24"/>
          <w:szCs w:val="32"/>
          <w:highlight w:val="none"/>
        </w:rPr>
      </w:pPr>
      <w:r>
        <w:rPr>
          <w:rFonts w:hint="eastAsia" w:ascii="宋体" w:hAnsi="宋体" w:eastAsia="宋体"/>
          <w:b/>
          <w:color w:val="auto"/>
          <w:sz w:val="32"/>
          <w:szCs w:val="28"/>
          <w:highlight w:val="none"/>
          <w:lang w:val="zh-CN"/>
        </w:rPr>
        <w:t>证书一览表</w:t>
      </w:r>
    </w:p>
    <w:p>
      <w:pPr>
        <w:shd w:val="clear"/>
        <w:spacing w:line="360" w:lineRule="auto"/>
        <w:jc w:val="both"/>
        <w:rPr>
          <w:rFonts w:hint="eastAsia" w:ascii="宋体" w:hAnsi="宋体" w:eastAsia="宋体"/>
          <w:b/>
          <w:color w:val="auto"/>
          <w:sz w:val="24"/>
          <w:szCs w:val="2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center"/>
          </w:tcPr>
          <w:p>
            <w:pPr>
              <w:shd w:val="clear"/>
              <w:bidi w:val="0"/>
              <w:spacing w:line="360" w:lineRule="auto"/>
              <w:jc w:val="center"/>
              <w:rPr>
                <w:b/>
                <w:bCs/>
                <w:color w:val="auto"/>
                <w:sz w:val="24"/>
                <w:szCs w:val="24"/>
                <w:highlight w:val="none"/>
              </w:rPr>
            </w:pPr>
            <w:r>
              <w:rPr>
                <w:rFonts w:hint="eastAsia"/>
                <w:b/>
                <w:bCs/>
                <w:color w:val="auto"/>
                <w:sz w:val="24"/>
                <w:szCs w:val="24"/>
                <w:highlight w:val="none"/>
              </w:rPr>
              <w:t>证书名称</w:t>
            </w:r>
          </w:p>
        </w:tc>
        <w:tc>
          <w:tcPr>
            <w:tcW w:w="2258" w:type="dxa"/>
            <w:tcBorders>
              <w:top w:val="single" w:color="auto" w:sz="4" w:space="0"/>
              <w:bottom w:val="single" w:color="auto" w:sz="4" w:space="0"/>
            </w:tcBorders>
            <w:vAlign w:val="center"/>
          </w:tcPr>
          <w:p>
            <w:pPr>
              <w:shd w:val="clear"/>
              <w:bidi w:val="0"/>
              <w:spacing w:line="360" w:lineRule="auto"/>
              <w:jc w:val="center"/>
              <w:rPr>
                <w:b/>
                <w:bCs/>
                <w:color w:val="auto"/>
                <w:sz w:val="24"/>
                <w:szCs w:val="24"/>
                <w:highlight w:val="none"/>
              </w:rPr>
            </w:pPr>
            <w:r>
              <w:rPr>
                <w:rFonts w:hint="eastAsia"/>
                <w:b/>
                <w:bCs/>
                <w:color w:val="auto"/>
                <w:sz w:val="24"/>
                <w:szCs w:val="24"/>
                <w:highlight w:val="none"/>
              </w:rPr>
              <w:t>发证单位</w:t>
            </w:r>
          </w:p>
        </w:tc>
        <w:tc>
          <w:tcPr>
            <w:tcW w:w="2260" w:type="dxa"/>
            <w:tcBorders>
              <w:top w:val="single" w:color="auto" w:sz="4" w:space="0"/>
              <w:bottom w:val="single" w:color="auto" w:sz="4" w:space="0"/>
            </w:tcBorders>
            <w:vAlign w:val="center"/>
          </w:tcPr>
          <w:p>
            <w:pPr>
              <w:shd w:val="clear"/>
              <w:bidi w:val="0"/>
              <w:spacing w:line="360" w:lineRule="auto"/>
              <w:jc w:val="center"/>
              <w:rPr>
                <w:b/>
                <w:bCs/>
                <w:color w:val="auto"/>
                <w:sz w:val="24"/>
                <w:szCs w:val="24"/>
                <w:highlight w:val="none"/>
              </w:rPr>
            </w:pPr>
            <w:r>
              <w:rPr>
                <w:rFonts w:hint="eastAsia"/>
                <w:b/>
                <w:bCs/>
                <w:color w:val="auto"/>
                <w:sz w:val="24"/>
                <w:szCs w:val="24"/>
                <w:highlight w:val="none"/>
              </w:rPr>
              <w:t>证书等级</w:t>
            </w:r>
          </w:p>
        </w:tc>
        <w:tc>
          <w:tcPr>
            <w:tcW w:w="2047" w:type="dxa"/>
            <w:tcBorders>
              <w:top w:val="single" w:color="auto" w:sz="4" w:space="0"/>
              <w:bottom w:val="single" w:color="auto" w:sz="4" w:space="0"/>
              <w:right w:val="single" w:color="auto" w:sz="4" w:space="0"/>
            </w:tcBorders>
            <w:vAlign w:val="center"/>
          </w:tcPr>
          <w:p>
            <w:pPr>
              <w:shd w:val="clear"/>
              <w:bidi w:val="0"/>
              <w:spacing w:line="360" w:lineRule="auto"/>
              <w:jc w:val="center"/>
              <w:rPr>
                <w:b/>
                <w:bCs/>
                <w:color w:val="auto"/>
                <w:sz w:val="24"/>
                <w:szCs w:val="24"/>
                <w:highlight w:val="none"/>
              </w:rPr>
            </w:pPr>
            <w:r>
              <w:rPr>
                <w:rFonts w:hint="eastAsia"/>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tcBorders>
              <w:top w:val="single" w:color="auto" w:sz="4" w:space="0"/>
            </w:tcBorders>
            <w:vAlign w:val="center"/>
          </w:tcPr>
          <w:p>
            <w:pPr>
              <w:shd w:val="clear"/>
              <w:bidi w:val="0"/>
              <w:spacing w:line="360" w:lineRule="auto"/>
              <w:jc w:val="center"/>
              <w:rPr>
                <w:b/>
                <w:bCs/>
                <w:color w:val="auto"/>
                <w:sz w:val="24"/>
                <w:szCs w:val="24"/>
                <w:highlight w:val="none"/>
              </w:rPr>
            </w:pPr>
          </w:p>
        </w:tc>
        <w:tc>
          <w:tcPr>
            <w:tcW w:w="2260" w:type="dxa"/>
            <w:tcBorders>
              <w:top w:val="single" w:color="auto" w:sz="4" w:space="0"/>
            </w:tcBorders>
            <w:vAlign w:val="center"/>
          </w:tcPr>
          <w:p>
            <w:pPr>
              <w:shd w:val="clear"/>
              <w:bidi w:val="0"/>
              <w:spacing w:line="360" w:lineRule="auto"/>
              <w:jc w:val="center"/>
              <w:rPr>
                <w:b/>
                <w:bCs/>
                <w:color w:val="auto"/>
                <w:sz w:val="24"/>
                <w:szCs w:val="24"/>
                <w:highlight w:val="none"/>
              </w:rPr>
            </w:pPr>
          </w:p>
        </w:tc>
        <w:tc>
          <w:tcPr>
            <w:tcW w:w="2047" w:type="dxa"/>
            <w:tcBorders>
              <w:top w:val="single" w:color="auto" w:sz="4" w:space="0"/>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vAlign w:val="center"/>
          </w:tcPr>
          <w:p>
            <w:pPr>
              <w:shd w:val="clear"/>
              <w:bidi w:val="0"/>
              <w:spacing w:line="360" w:lineRule="auto"/>
              <w:jc w:val="center"/>
              <w:rPr>
                <w:b/>
                <w:bCs/>
                <w:color w:val="auto"/>
                <w:sz w:val="24"/>
                <w:szCs w:val="24"/>
                <w:highlight w:val="none"/>
              </w:rPr>
            </w:pPr>
          </w:p>
        </w:tc>
        <w:tc>
          <w:tcPr>
            <w:tcW w:w="2260" w:type="dxa"/>
            <w:vAlign w:val="center"/>
          </w:tcPr>
          <w:p>
            <w:pPr>
              <w:shd w:val="clear"/>
              <w:bidi w:val="0"/>
              <w:spacing w:line="360" w:lineRule="auto"/>
              <w:jc w:val="center"/>
              <w:rPr>
                <w:b/>
                <w:bCs/>
                <w:color w:val="auto"/>
                <w:sz w:val="24"/>
                <w:szCs w:val="24"/>
                <w:highlight w:val="none"/>
              </w:rPr>
            </w:pPr>
          </w:p>
        </w:tc>
        <w:tc>
          <w:tcPr>
            <w:tcW w:w="2047" w:type="dxa"/>
            <w:tcBorders>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vAlign w:val="center"/>
          </w:tcPr>
          <w:p>
            <w:pPr>
              <w:shd w:val="clear"/>
              <w:bidi w:val="0"/>
              <w:spacing w:line="360" w:lineRule="auto"/>
              <w:jc w:val="center"/>
              <w:rPr>
                <w:b/>
                <w:bCs/>
                <w:color w:val="auto"/>
                <w:sz w:val="24"/>
                <w:szCs w:val="24"/>
                <w:highlight w:val="none"/>
              </w:rPr>
            </w:pPr>
          </w:p>
        </w:tc>
        <w:tc>
          <w:tcPr>
            <w:tcW w:w="2260" w:type="dxa"/>
            <w:vAlign w:val="center"/>
          </w:tcPr>
          <w:p>
            <w:pPr>
              <w:shd w:val="clear"/>
              <w:bidi w:val="0"/>
              <w:spacing w:line="360" w:lineRule="auto"/>
              <w:jc w:val="center"/>
              <w:rPr>
                <w:b/>
                <w:bCs/>
                <w:color w:val="auto"/>
                <w:sz w:val="24"/>
                <w:szCs w:val="24"/>
                <w:highlight w:val="none"/>
              </w:rPr>
            </w:pPr>
          </w:p>
        </w:tc>
        <w:tc>
          <w:tcPr>
            <w:tcW w:w="2047" w:type="dxa"/>
            <w:tcBorders>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vAlign w:val="center"/>
          </w:tcPr>
          <w:p>
            <w:pPr>
              <w:shd w:val="clear"/>
              <w:bidi w:val="0"/>
              <w:spacing w:line="360" w:lineRule="auto"/>
              <w:jc w:val="center"/>
              <w:rPr>
                <w:b/>
                <w:bCs/>
                <w:color w:val="auto"/>
                <w:sz w:val="24"/>
                <w:szCs w:val="24"/>
                <w:highlight w:val="none"/>
              </w:rPr>
            </w:pPr>
          </w:p>
        </w:tc>
        <w:tc>
          <w:tcPr>
            <w:tcW w:w="2260" w:type="dxa"/>
            <w:vAlign w:val="center"/>
          </w:tcPr>
          <w:p>
            <w:pPr>
              <w:shd w:val="clear"/>
              <w:bidi w:val="0"/>
              <w:spacing w:line="360" w:lineRule="auto"/>
              <w:jc w:val="center"/>
              <w:rPr>
                <w:b/>
                <w:bCs/>
                <w:color w:val="auto"/>
                <w:sz w:val="24"/>
                <w:szCs w:val="24"/>
                <w:highlight w:val="none"/>
              </w:rPr>
            </w:pPr>
          </w:p>
        </w:tc>
        <w:tc>
          <w:tcPr>
            <w:tcW w:w="2047" w:type="dxa"/>
            <w:tcBorders>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vAlign w:val="center"/>
          </w:tcPr>
          <w:p>
            <w:pPr>
              <w:shd w:val="clear"/>
              <w:bidi w:val="0"/>
              <w:spacing w:line="360" w:lineRule="auto"/>
              <w:jc w:val="center"/>
              <w:rPr>
                <w:b/>
                <w:bCs/>
                <w:color w:val="auto"/>
                <w:sz w:val="24"/>
                <w:szCs w:val="24"/>
                <w:highlight w:val="none"/>
              </w:rPr>
            </w:pPr>
          </w:p>
        </w:tc>
        <w:tc>
          <w:tcPr>
            <w:tcW w:w="2260" w:type="dxa"/>
            <w:vAlign w:val="center"/>
          </w:tcPr>
          <w:p>
            <w:pPr>
              <w:shd w:val="clear"/>
              <w:bidi w:val="0"/>
              <w:spacing w:line="360" w:lineRule="auto"/>
              <w:jc w:val="center"/>
              <w:rPr>
                <w:b/>
                <w:bCs/>
                <w:color w:val="auto"/>
                <w:sz w:val="24"/>
                <w:szCs w:val="24"/>
                <w:highlight w:val="none"/>
              </w:rPr>
            </w:pPr>
          </w:p>
        </w:tc>
        <w:tc>
          <w:tcPr>
            <w:tcW w:w="2047" w:type="dxa"/>
            <w:tcBorders>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pPr>
              <w:shd w:val="clear"/>
              <w:bidi w:val="0"/>
              <w:spacing w:line="360" w:lineRule="auto"/>
              <w:jc w:val="center"/>
              <w:rPr>
                <w:b/>
                <w:bCs/>
                <w:color w:val="auto"/>
                <w:sz w:val="24"/>
                <w:szCs w:val="24"/>
                <w:highlight w:val="none"/>
              </w:rPr>
            </w:pPr>
          </w:p>
        </w:tc>
        <w:tc>
          <w:tcPr>
            <w:tcW w:w="2258" w:type="dxa"/>
            <w:vAlign w:val="center"/>
          </w:tcPr>
          <w:p>
            <w:pPr>
              <w:shd w:val="clear"/>
              <w:bidi w:val="0"/>
              <w:spacing w:line="360" w:lineRule="auto"/>
              <w:jc w:val="center"/>
              <w:rPr>
                <w:b/>
                <w:bCs/>
                <w:color w:val="auto"/>
                <w:sz w:val="24"/>
                <w:szCs w:val="24"/>
                <w:highlight w:val="none"/>
              </w:rPr>
            </w:pPr>
          </w:p>
        </w:tc>
        <w:tc>
          <w:tcPr>
            <w:tcW w:w="2260" w:type="dxa"/>
            <w:vAlign w:val="center"/>
          </w:tcPr>
          <w:p>
            <w:pPr>
              <w:shd w:val="clear"/>
              <w:bidi w:val="0"/>
              <w:spacing w:line="360" w:lineRule="auto"/>
              <w:jc w:val="center"/>
              <w:rPr>
                <w:b/>
                <w:bCs/>
                <w:color w:val="auto"/>
                <w:sz w:val="24"/>
                <w:szCs w:val="24"/>
                <w:highlight w:val="none"/>
              </w:rPr>
            </w:pPr>
          </w:p>
        </w:tc>
        <w:tc>
          <w:tcPr>
            <w:tcW w:w="2047" w:type="dxa"/>
            <w:tcBorders>
              <w:right w:val="single" w:color="auto" w:sz="4" w:space="0"/>
            </w:tcBorders>
            <w:vAlign w:val="center"/>
          </w:tcPr>
          <w:p>
            <w:pPr>
              <w:shd w:val="clear"/>
              <w:bidi w:val="0"/>
              <w:spacing w:line="360" w:lineRule="auto"/>
              <w:jc w:val="center"/>
              <w:rPr>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center"/>
          </w:tcPr>
          <w:p>
            <w:pPr>
              <w:shd w:val="clear"/>
              <w:bidi w:val="0"/>
              <w:spacing w:line="360" w:lineRule="auto"/>
              <w:jc w:val="center"/>
              <w:rPr>
                <w:b/>
                <w:bCs/>
                <w:color w:val="auto"/>
                <w:sz w:val="24"/>
                <w:szCs w:val="24"/>
                <w:highlight w:val="none"/>
              </w:rPr>
            </w:pPr>
          </w:p>
        </w:tc>
        <w:tc>
          <w:tcPr>
            <w:tcW w:w="2258" w:type="dxa"/>
            <w:tcBorders>
              <w:bottom w:val="single" w:color="auto" w:sz="4" w:space="0"/>
            </w:tcBorders>
            <w:vAlign w:val="center"/>
          </w:tcPr>
          <w:p>
            <w:pPr>
              <w:shd w:val="clear"/>
              <w:bidi w:val="0"/>
              <w:spacing w:line="360" w:lineRule="auto"/>
              <w:jc w:val="center"/>
              <w:rPr>
                <w:b/>
                <w:bCs/>
                <w:color w:val="auto"/>
                <w:sz w:val="24"/>
                <w:szCs w:val="24"/>
                <w:highlight w:val="none"/>
              </w:rPr>
            </w:pPr>
          </w:p>
        </w:tc>
        <w:tc>
          <w:tcPr>
            <w:tcW w:w="2260" w:type="dxa"/>
            <w:tcBorders>
              <w:bottom w:val="single" w:color="auto" w:sz="4" w:space="0"/>
            </w:tcBorders>
            <w:vAlign w:val="center"/>
          </w:tcPr>
          <w:p>
            <w:pPr>
              <w:shd w:val="clear"/>
              <w:bidi w:val="0"/>
              <w:spacing w:line="360" w:lineRule="auto"/>
              <w:jc w:val="center"/>
              <w:rPr>
                <w:b/>
                <w:bCs/>
                <w:color w:val="auto"/>
                <w:sz w:val="24"/>
                <w:szCs w:val="24"/>
                <w:highlight w:val="none"/>
              </w:rPr>
            </w:pPr>
          </w:p>
        </w:tc>
        <w:tc>
          <w:tcPr>
            <w:tcW w:w="2047" w:type="dxa"/>
            <w:tcBorders>
              <w:bottom w:val="single" w:color="auto" w:sz="4" w:space="0"/>
              <w:right w:val="single" w:color="auto" w:sz="4" w:space="0"/>
            </w:tcBorders>
            <w:vAlign w:val="center"/>
          </w:tcPr>
          <w:p>
            <w:pPr>
              <w:shd w:val="clear"/>
              <w:bidi w:val="0"/>
              <w:spacing w:line="360" w:lineRule="auto"/>
              <w:jc w:val="center"/>
              <w:rPr>
                <w:b/>
                <w:bCs/>
                <w:color w:val="auto"/>
                <w:sz w:val="24"/>
                <w:szCs w:val="24"/>
                <w:highlight w:val="none"/>
              </w:rPr>
            </w:pPr>
          </w:p>
        </w:tc>
      </w:tr>
    </w:tbl>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color w:val="auto"/>
          <w:sz w:val="24"/>
          <w:szCs w:val="22"/>
          <w:highlight w:val="none"/>
          <w:lang w:val="zh-CN"/>
        </w:rPr>
      </w:pPr>
      <w:r>
        <w:rPr>
          <w:rFonts w:hint="eastAsia" w:ascii="宋体" w:hAnsi="宋体" w:eastAsia="宋体"/>
          <w:b/>
          <w:color w:val="auto"/>
          <w:sz w:val="24"/>
          <w:szCs w:val="22"/>
          <w:highlight w:val="none"/>
          <w:lang w:val="zh-CN"/>
        </w:rPr>
        <w:t>要求：</w:t>
      </w:r>
    </w:p>
    <w:p>
      <w:pPr>
        <w:shd w:val="clear"/>
        <w:spacing w:line="360" w:lineRule="auto"/>
        <w:ind w:firstLine="480" w:firstLineChars="200"/>
        <w:jc w:val="both"/>
        <w:rPr>
          <w:rFonts w:hint="eastAsia" w:ascii="宋体" w:hAnsi="宋体" w:eastAsia="宋体"/>
          <w:b w:val="0"/>
          <w:bCs/>
          <w:color w:val="auto"/>
          <w:sz w:val="24"/>
          <w:szCs w:val="22"/>
          <w:highlight w:val="none"/>
          <w:lang w:val="zh-CN"/>
        </w:rPr>
      </w:pPr>
      <w:r>
        <w:rPr>
          <w:rFonts w:hint="eastAsia" w:ascii="宋体" w:hAnsi="宋体" w:eastAsia="宋体"/>
          <w:b w:val="0"/>
          <w:bCs/>
          <w:color w:val="auto"/>
          <w:sz w:val="24"/>
          <w:szCs w:val="22"/>
          <w:highlight w:val="none"/>
          <w:lang w:val="zh-CN"/>
        </w:rPr>
        <w:t>1.填写</w:t>
      </w:r>
      <w:r>
        <w:rPr>
          <w:rFonts w:hint="eastAsia" w:ascii="宋体" w:hAnsi="宋体"/>
          <w:b w:val="0"/>
          <w:bCs/>
          <w:color w:val="auto"/>
          <w:sz w:val="24"/>
          <w:szCs w:val="22"/>
          <w:highlight w:val="none"/>
          <w:lang w:val="zh-CN" w:eastAsia="zh-CN"/>
        </w:rPr>
        <w:t>谈判响应供应商</w:t>
      </w:r>
      <w:r>
        <w:rPr>
          <w:rFonts w:hint="eastAsia" w:ascii="宋体" w:hAnsi="宋体" w:eastAsia="宋体"/>
          <w:b w:val="0"/>
          <w:bCs/>
          <w:color w:val="auto"/>
          <w:sz w:val="24"/>
          <w:szCs w:val="22"/>
          <w:highlight w:val="none"/>
          <w:lang w:val="zh-CN"/>
        </w:rPr>
        <w:t>获得资质、认证或企业信誉证书。</w:t>
      </w:r>
    </w:p>
    <w:p>
      <w:pPr>
        <w:shd w:val="clear"/>
        <w:spacing w:line="360" w:lineRule="auto"/>
        <w:ind w:firstLine="480" w:firstLineChars="200"/>
        <w:jc w:val="both"/>
        <w:rPr>
          <w:rFonts w:hint="eastAsia" w:ascii="宋体" w:hAnsi="宋体" w:eastAsia="宋体"/>
          <w:b w:val="0"/>
          <w:bCs/>
          <w:color w:val="auto"/>
          <w:sz w:val="24"/>
          <w:szCs w:val="22"/>
          <w:highlight w:val="none"/>
          <w:lang w:val="zh-CN"/>
        </w:rPr>
      </w:pPr>
      <w:r>
        <w:rPr>
          <w:rFonts w:hint="eastAsia" w:ascii="宋体" w:hAnsi="宋体" w:eastAsia="宋体"/>
          <w:b w:val="0"/>
          <w:bCs/>
          <w:color w:val="auto"/>
          <w:sz w:val="24"/>
          <w:szCs w:val="22"/>
          <w:highlight w:val="none"/>
          <w:lang w:val="zh-CN"/>
        </w:rPr>
        <w:t>2.附所列证书复印件或其他证明材料。</w:t>
      </w: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13</w:t>
      </w:r>
    </w:p>
    <w:p>
      <w:pPr>
        <w:shd w:val="clear"/>
        <w:spacing w:line="360" w:lineRule="auto"/>
        <w:jc w:val="center"/>
        <w:rPr>
          <w:rFonts w:hint="eastAsia" w:ascii="宋体" w:hAnsi="宋体" w:eastAsia="宋体"/>
          <w:b w:val="0"/>
          <w:bCs/>
          <w:color w:val="auto"/>
          <w:sz w:val="24"/>
          <w:szCs w:val="22"/>
          <w:highlight w:val="none"/>
          <w:lang w:val="zh-CN"/>
        </w:rPr>
      </w:pPr>
      <w:r>
        <w:rPr>
          <w:rFonts w:hint="eastAsia" w:ascii="宋体" w:hAnsi="宋体" w:eastAsia="宋体"/>
          <w:b/>
          <w:color w:val="auto"/>
          <w:sz w:val="32"/>
          <w:szCs w:val="28"/>
          <w:highlight w:val="none"/>
          <w:lang w:val="zh-CN"/>
        </w:rPr>
        <w:t>类似项目实施情况一览表</w:t>
      </w:r>
    </w:p>
    <w:p>
      <w:pPr>
        <w:shd w:val="clear"/>
        <w:spacing w:line="360" w:lineRule="auto"/>
        <w:jc w:val="both"/>
        <w:rPr>
          <w:rFonts w:hint="eastAsia" w:ascii="宋体" w:hAnsi="宋体" w:eastAsia="宋体"/>
          <w:b w:val="0"/>
          <w:bCs/>
          <w:color w:val="auto"/>
          <w:sz w:val="24"/>
          <w:szCs w:val="22"/>
          <w:highlight w:val="none"/>
          <w:lang w:val="zh-CN"/>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bidi w:val="0"/>
              <w:spacing w:line="360" w:lineRule="auto"/>
              <w:jc w:val="center"/>
              <w:rPr>
                <w:rFonts w:hint="eastAsia" w:ascii="宋体" w:hAnsi="宋体" w:eastAsia="宋体" w:cs="宋体"/>
                <w:b/>
                <w:bCs/>
                <w:color w:val="auto"/>
                <w:sz w:val="24"/>
                <w:szCs w:val="24"/>
                <w:highlight w:val="none"/>
              </w:rPr>
            </w:pPr>
          </w:p>
        </w:tc>
      </w:tr>
    </w:tbl>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bCs w:val="0"/>
          <w:color w:val="auto"/>
          <w:sz w:val="24"/>
          <w:szCs w:val="22"/>
          <w:highlight w:val="none"/>
          <w:lang w:val="zh-CN"/>
        </w:rPr>
      </w:pPr>
      <w:r>
        <w:rPr>
          <w:rFonts w:hint="eastAsia" w:ascii="宋体" w:hAnsi="宋体" w:eastAsia="宋体"/>
          <w:b/>
          <w:bCs w:val="0"/>
          <w:color w:val="auto"/>
          <w:sz w:val="24"/>
          <w:szCs w:val="22"/>
          <w:highlight w:val="none"/>
          <w:lang w:val="zh-CN"/>
        </w:rPr>
        <w:t>要求：</w:t>
      </w:r>
    </w:p>
    <w:p>
      <w:pPr>
        <w:shd w:val="clear"/>
        <w:spacing w:line="360" w:lineRule="auto"/>
        <w:ind w:firstLine="480" w:firstLineChars="200"/>
        <w:jc w:val="both"/>
        <w:rPr>
          <w:rFonts w:hint="eastAsia" w:ascii="宋体" w:hAnsi="宋体" w:eastAsia="宋体"/>
          <w:b w:val="0"/>
          <w:bCs/>
          <w:color w:val="auto"/>
          <w:sz w:val="24"/>
          <w:szCs w:val="22"/>
          <w:highlight w:val="none"/>
          <w:lang w:val="zh-CN"/>
        </w:rPr>
      </w:pPr>
      <w:r>
        <w:rPr>
          <w:rFonts w:hint="eastAsia" w:ascii="宋体" w:hAnsi="宋体" w:eastAsia="宋体"/>
          <w:b w:val="0"/>
          <w:bCs/>
          <w:color w:val="auto"/>
          <w:sz w:val="24"/>
          <w:szCs w:val="22"/>
          <w:highlight w:val="none"/>
          <w:lang w:val="zh-CN"/>
        </w:rPr>
        <w:t>1.业绩证明应提供证明材料（合同复印件可只提供首页、含金额页、盖章页并加盖</w:t>
      </w:r>
      <w:r>
        <w:rPr>
          <w:rFonts w:hint="eastAsia" w:ascii="宋体" w:hAnsi="宋体"/>
          <w:b w:val="0"/>
          <w:bCs/>
          <w:color w:val="auto"/>
          <w:sz w:val="24"/>
          <w:szCs w:val="22"/>
          <w:highlight w:val="none"/>
          <w:lang w:val="zh-CN" w:eastAsia="zh-CN"/>
        </w:rPr>
        <w:t>谈判响应供应商</w:t>
      </w:r>
      <w:r>
        <w:rPr>
          <w:rFonts w:hint="eastAsia" w:ascii="宋体" w:hAnsi="宋体" w:eastAsia="宋体"/>
          <w:b w:val="0"/>
          <w:bCs/>
          <w:color w:val="auto"/>
          <w:sz w:val="24"/>
          <w:szCs w:val="22"/>
          <w:highlight w:val="none"/>
          <w:lang w:val="zh-CN"/>
        </w:rPr>
        <w:t>公章）；</w:t>
      </w:r>
    </w:p>
    <w:p>
      <w:pPr>
        <w:shd w:val="clear"/>
        <w:spacing w:line="360" w:lineRule="auto"/>
        <w:ind w:firstLine="480" w:firstLineChars="200"/>
        <w:jc w:val="both"/>
        <w:rPr>
          <w:rFonts w:hint="eastAsia" w:ascii="宋体" w:hAnsi="宋体" w:eastAsia="宋体"/>
          <w:b w:val="0"/>
          <w:bCs/>
          <w:color w:val="auto"/>
          <w:sz w:val="24"/>
          <w:szCs w:val="22"/>
          <w:highlight w:val="none"/>
          <w:lang w:val="zh-CN"/>
        </w:rPr>
      </w:pPr>
      <w:r>
        <w:rPr>
          <w:rFonts w:hint="eastAsia" w:ascii="宋体" w:hAnsi="宋体" w:eastAsia="宋体"/>
          <w:b w:val="0"/>
          <w:bCs/>
          <w:color w:val="auto"/>
          <w:sz w:val="24"/>
          <w:szCs w:val="22"/>
          <w:highlight w:val="none"/>
          <w:lang w:val="zh-CN"/>
        </w:rPr>
        <w:t>2.</w:t>
      </w:r>
      <w:r>
        <w:rPr>
          <w:rFonts w:hint="eastAsia" w:ascii="宋体" w:hAnsi="宋体"/>
          <w:b w:val="0"/>
          <w:bCs/>
          <w:color w:val="auto"/>
          <w:sz w:val="24"/>
          <w:szCs w:val="22"/>
          <w:highlight w:val="none"/>
          <w:lang w:val="zh-CN" w:eastAsia="zh-CN"/>
        </w:rPr>
        <w:t>谈判响应供应商</w:t>
      </w:r>
      <w:r>
        <w:rPr>
          <w:rFonts w:hint="eastAsia" w:ascii="宋体" w:hAnsi="宋体" w:eastAsia="宋体"/>
          <w:b w:val="0"/>
          <w:bCs/>
          <w:color w:val="auto"/>
          <w:sz w:val="24"/>
          <w:szCs w:val="22"/>
          <w:highlight w:val="none"/>
          <w:lang w:val="zh-CN"/>
        </w:rPr>
        <w:t>可按此表格式复制。</w:t>
      </w: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both"/>
        <w:rPr>
          <w:rFonts w:hint="eastAsia" w:ascii="宋体" w:hAnsi="宋体" w:eastAsia="宋体"/>
          <w:b w:val="0"/>
          <w:bCs/>
          <w:color w:val="auto"/>
          <w:sz w:val="24"/>
          <w:szCs w:val="22"/>
          <w:highlight w:val="none"/>
          <w:lang w:val="zh-CN"/>
        </w:rPr>
      </w:pPr>
    </w:p>
    <w:p>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4</w:t>
      </w:r>
    </w:p>
    <w:p>
      <w:pPr>
        <w:shd w:val="clear"/>
        <w:spacing w:line="360" w:lineRule="auto"/>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hd w:val="clear"/>
        <w:spacing w:line="360" w:lineRule="auto"/>
        <w:rPr>
          <w:rFonts w:ascii="宋体"/>
          <w:b/>
          <w:color w:val="auto"/>
          <w:sz w:val="24"/>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5"/>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35"/>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35"/>
              <w:shd w:val="clear"/>
              <w:spacing w:line="360" w:lineRule="auto"/>
              <w:jc w:val="center"/>
              <w:rPr>
                <w:rFonts w:ascii="宋体" w:cs="Arial"/>
                <w:b/>
                <w:color w:val="auto"/>
                <w:sz w:val="24"/>
                <w:highlight w:val="none"/>
              </w:rPr>
            </w:pPr>
            <w:r>
              <w:rPr>
                <w:rFonts w:hint="eastAsia" w:ascii="宋体" w:hAnsi="宋体" w:cs="Arial"/>
                <w:b/>
                <w:color w:val="auto"/>
                <w:sz w:val="24"/>
                <w:highlight w:val="none"/>
                <w:lang w:eastAsia="zh-CN"/>
              </w:rPr>
              <w:t>谈判供应商</w:t>
            </w:r>
            <w:r>
              <w:rPr>
                <w:rFonts w:hint="eastAsia" w:ascii="宋体" w:hAnsi="宋体" w:cs="Arial"/>
                <w:b/>
                <w:color w:val="auto"/>
                <w:sz w:val="24"/>
                <w:highlight w:val="none"/>
              </w:rPr>
              <w:t>情况</w:t>
            </w:r>
          </w:p>
        </w:tc>
        <w:tc>
          <w:tcPr>
            <w:tcW w:w="1373" w:type="dxa"/>
            <w:tcBorders>
              <w:top w:val="single" w:color="auto" w:sz="4" w:space="0"/>
            </w:tcBorders>
            <w:vAlign w:val="center"/>
          </w:tcPr>
          <w:p>
            <w:pPr>
              <w:pStyle w:val="35"/>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35"/>
              <w:widowControl/>
              <w:shd w:val="clear"/>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vAlign w:val="top"/>
          </w:tcPr>
          <w:p>
            <w:pPr>
              <w:pStyle w:val="35"/>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vAlign w:val="top"/>
          </w:tcPr>
          <w:p>
            <w:pPr>
              <w:pStyle w:val="35"/>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hd w:val="clear"/>
              <w:spacing w:line="360" w:lineRule="auto"/>
              <w:jc w:val="left"/>
              <w:rPr>
                <w:rFonts w:ascii="宋体" w:cs="Arial"/>
                <w:bCs/>
                <w:color w:val="auto"/>
                <w:sz w:val="24"/>
                <w:highlight w:val="none"/>
              </w:rPr>
            </w:pPr>
          </w:p>
        </w:tc>
        <w:tc>
          <w:tcPr>
            <w:tcW w:w="2355" w:type="dxa"/>
            <w:vMerge w:val="continue"/>
            <w:vAlign w:val="center"/>
          </w:tcPr>
          <w:p>
            <w:pPr>
              <w:pStyle w:val="35"/>
              <w:widowControl/>
              <w:shd w:val="clear"/>
              <w:spacing w:line="360" w:lineRule="auto"/>
              <w:jc w:val="left"/>
              <w:rPr>
                <w:rFonts w:ascii="宋体" w:cs="Arial"/>
                <w:bCs/>
                <w:color w:val="auto"/>
                <w:sz w:val="24"/>
                <w:highlight w:val="none"/>
              </w:rPr>
            </w:pPr>
          </w:p>
        </w:tc>
        <w:tc>
          <w:tcPr>
            <w:tcW w:w="4061" w:type="dxa"/>
            <w:vAlign w:val="top"/>
          </w:tcPr>
          <w:p>
            <w:pPr>
              <w:pStyle w:val="35"/>
              <w:shd w:val="clear"/>
              <w:spacing w:line="360" w:lineRule="auto"/>
              <w:rPr>
                <w:rFonts w:ascii="宋体" w:cs="Arial"/>
                <w:bCs/>
                <w:color w:val="auto"/>
                <w:sz w:val="24"/>
                <w:highlight w:val="none"/>
              </w:rPr>
            </w:pPr>
            <w:r>
              <w:rPr>
                <w:rFonts w:hint="eastAsia" w:ascii="宋体" w:hAnsi="宋体" w:cs="Arial"/>
                <w:bCs/>
                <w:color w:val="auto"/>
                <w:sz w:val="24"/>
                <w:highlight w:val="none"/>
                <w:lang w:val="en-US" w:eastAsia="zh-CN"/>
              </w:rPr>
              <w:t>谈判</w:t>
            </w:r>
            <w:r>
              <w:rPr>
                <w:rFonts w:hint="eastAsia" w:ascii="宋体" w:hAnsi="宋体" w:cs="Arial"/>
                <w:bCs/>
                <w:color w:val="auto"/>
                <w:sz w:val="24"/>
                <w:highlight w:val="none"/>
                <w:lang w:eastAsia="zh-CN"/>
              </w:rPr>
              <w:t>供应商</w:t>
            </w:r>
            <w:r>
              <w:rPr>
                <w:rFonts w:hint="eastAsia" w:ascii="宋体" w:hAnsi="宋体" w:cs="Arial"/>
                <w:bCs/>
                <w:color w:val="auto"/>
                <w:sz w:val="24"/>
                <w:highlight w:val="none"/>
              </w:rPr>
              <w:t>售后服务情况：</w:t>
            </w:r>
          </w:p>
        </w:tc>
        <w:tc>
          <w:tcPr>
            <w:tcW w:w="1373" w:type="dxa"/>
            <w:vAlign w:val="top"/>
          </w:tcPr>
          <w:p>
            <w:pPr>
              <w:pStyle w:val="35"/>
              <w:shd w:val="clear"/>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35"/>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vAlign w:val="top"/>
          </w:tcPr>
          <w:p>
            <w:pPr>
              <w:pStyle w:val="35"/>
              <w:widowControl/>
              <w:shd w:val="clear"/>
              <w:spacing w:line="360" w:lineRule="auto"/>
              <w:jc w:val="left"/>
              <w:rPr>
                <w:rFonts w:ascii="宋体" w:cs="Arial"/>
                <w:bCs/>
                <w:color w:val="auto"/>
                <w:sz w:val="24"/>
                <w:highlight w:val="none"/>
              </w:rPr>
            </w:pPr>
          </w:p>
          <w:p>
            <w:pPr>
              <w:pStyle w:val="35"/>
              <w:widowControl/>
              <w:shd w:val="clear"/>
              <w:spacing w:line="360" w:lineRule="auto"/>
              <w:jc w:val="left"/>
              <w:rPr>
                <w:rFonts w:ascii="宋体" w:cs="Arial"/>
                <w:bCs/>
                <w:color w:val="auto"/>
                <w:sz w:val="24"/>
                <w:highlight w:val="none"/>
              </w:rPr>
            </w:pPr>
          </w:p>
          <w:p>
            <w:pPr>
              <w:pStyle w:val="35"/>
              <w:shd w:val="clear"/>
              <w:spacing w:line="360" w:lineRule="auto"/>
              <w:rPr>
                <w:rFonts w:ascii="宋体" w:cs="Arial"/>
                <w:bCs/>
                <w:color w:val="auto"/>
                <w:sz w:val="24"/>
                <w:highlight w:val="none"/>
              </w:rPr>
            </w:pPr>
          </w:p>
        </w:tc>
        <w:tc>
          <w:tcPr>
            <w:tcW w:w="1373" w:type="dxa"/>
            <w:vAlign w:val="top"/>
          </w:tcPr>
          <w:p>
            <w:pPr>
              <w:pStyle w:val="35"/>
              <w:widowControl/>
              <w:shd w:val="clear"/>
              <w:spacing w:line="360" w:lineRule="auto"/>
              <w:jc w:val="left"/>
              <w:rPr>
                <w:rFonts w:ascii="宋体" w:cs="Arial"/>
                <w:bCs/>
                <w:color w:val="auto"/>
                <w:sz w:val="24"/>
                <w:highlight w:val="none"/>
              </w:rPr>
            </w:pPr>
          </w:p>
          <w:p>
            <w:pPr>
              <w:pStyle w:val="35"/>
              <w:widowControl/>
              <w:shd w:val="clear"/>
              <w:spacing w:line="360" w:lineRule="auto"/>
              <w:jc w:val="left"/>
              <w:rPr>
                <w:rFonts w:ascii="宋体" w:cs="Arial"/>
                <w:bCs/>
                <w:color w:val="auto"/>
                <w:sz w:val="24"/>
                <w:highlight w:val="none"/>
              </w:rPr>
            </w:pPr>
          </w:p>
          <w:p>
            <w:pPr>
              <w:pStyle w:val="35"/>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35"/>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vAlign w:val="top"/>
          </w:tcPr>
          <w:p>
            <w:pPr>
              <w:pStyle w:val="35"/>
              <w:widowControl/>
              <w:shd w:val="clear"/>
              <w:spacing w:line="360" w:lineRule="auto"/>
              <w:jc w:val="left"/>
              <w:rPr>
                <w:rFonts w:ascii="宋体" w:cs="Arial"/>
                <w:bCs/>
                <w:i/>
                <w:color w:val="auto"/>
                <w:sz w:val="24"/>
                <w:highlight w:val="none"/>
              </w:rPr>
            </w:pPr>
          </w:p>
          <w:p>
            <w:pPr>
              <w:pStyle w:val="35"/>
              <w:widowControl/>
              <w:shd w:val="clear"/>
              <w:spacing w:line="360" w:lineRule="auto"/>
              <w:jc w:val="left"/>
              <w:rPr>
                <w:rFonts w:ascii="宋体" w:cs="Arial"/>
                <w:bCs/>
                <w:i/>
                <w:color w:val="auto"/>
                <w:sz w:val="24"/>
                <w:highlight w:val="none"/>
              </w:rPr>
            </w:pPr>
          </w:p>
        </w:tc>
        <w:tc>
          <w:tcPr>
            <w:tcW w:w="1373" w:type="dxa"/>
            <w:vAlign w:val="top"/>
          </w:tcPr>
          <w:p>
            <w:pPr>
              <w:pStyle w:val="35"/>
              <w:widowControl/>
              <w:shd w:val="clear"/>
              <w:spacing w:line="360" w:lineRule="auto"/>
              <w:jc w:val="left"/>
              <w:rPr>
                <w:rFonts w:ascii="宋体" w:cs="Arial"/>
                <w:bCs/>
                <w:i/>
                <w:color w:val="auto"/>
                <w:sz w:val="24"/>
                <w:highlight w:val="none"/>
              </w:rPr>
            </w:pPr>
          </w:p>
          <w:p>
            <w:pPr>
              <w:pStyle w:val="35"/>
              <w:widowControl/>
              <w:shd w:val="clear"/>
              <w:spacing w:line="360" w:lineRule="auto"/>
              <w:jc w:val="left"/>
              <w:rPr>
                <w:rFonts w:ascii="宋体" w:cs="Arial"/>
                <w:bCs/>
                <w:i/>
                <w:color w:val="auto"/>
                <w:sz w:val="24"/>
                <w:highlight w:val="none"/>
              </w:rPr>
            </w:pPr>
          </w:p>
          <w:p>
            <w:pPr>
              <w:pStyle w:val="35"/>
              <w:widowControl/>
              <w:shd w:val="clear"/>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5"/>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35"/>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vAlign w:val="top"/>
          </w:tcPr>
          <w:p>
            <w:pPr>
              <w:pStyle w:val="35"/>
              <w:widowControl/>
              <w:shd w:val="clear"/>
              <w:spacing w:line="360" w:lineRule="auto"/>
              <w:jc w:val="left"/>
              <w:rPr>
                <w:rFonts w:ascii="宋体" w:cs="Arial"/>
                <w:bCs/>
                <w:color w:val="auto"/>
                <w:sz w:val="24"/>
                <w:highlight w:val="none"/>
              </w:rPr>
            </w:pPr>
          </w:p>
        </w:tc>
        <w:tc>
          <w:tcPr>
            <w:tcW w:w="1373" w:type="dxa"/>
            <w:tcBorders>
              <w:bottom w:val="single" w:color="auto" w:sz="4" w:space="0"/>
            </w:tcBorders>
            <w:vAlign w:val="top"/>
          </w:tcPr>
          <w:p>
            <w:pPr>
              <w:pStyle w:val="35"/>
              <w:widowControl/>
              <w:shd w:val="clear"/>
              <w:spacing w:line="360" w:lineRule="auto"/>
              <w:jc w:val="left"/>
              <w:rPr>
                <w:rFonts w:ascii="宋体" w:cs="Arial"/>
                <w:bCs/>
                <w:color w:val="auto"/>
                <w:sz w:val="24"/>
                <w:highlight w:val="none"/>
              </w:rPr>
            </w:pPr>
          </w:p>
        </w:tc>
      </w:tr>
    </w:tbl>
    <w:p>
      <w:pPr>
        <w:shd w:val="clear"/>
        <w:spacing w:line="360" w:lineRule="auto"/>
        <w:rPr>
          <w:rFonts w:ascii="宋体"/>
          <w:b/>
          <w:color w:val="auto"/>
          <w:sz w:val="24"/>
          <w:highlight w:val="none"/>
        </w:rPr>
      </w:pP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lang w:eastAsia="zh-CN"/>
        </w:rPr>
        <w:t>谈判响应供应商</w:t>
      </w:r>
      <w:r>
        <w:rPr>
          <w:rFonts w:hint="eastAsia" w:ascii="宋体" w:hAnsi="宋体"/>
          <w:color w:val="auto"/>
          <w:sz w:val="24"/>
          <w:highlight w:val="none"/>
        </w:rPr>
        <w:t>代表签字或盖章：</w:t>
      </w:r>
      <w:r>
        <w:rPr>
          <w:rFonts w:hint="eastAsia" w:ascii="宋体" w:hAnsi="宋体"/>
          <w:color w:val="auto"/>
          <w:sz w:val="24"/>
          <w:highlight w:val="none"/>
          <w:u w:val="single"/>
        </w:rPr>
        <w:t xml:space="preserve">                   </w:t>
      </w:r>
    </w:p>
    <w:p>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b/>
          <w:color w:val="auto"/>
          <w:sz w:val="28"/>
          <w:highlight w:val="none"/>
          <w:lang w:val="en-US" w:eastAsia="zh-CN"/>
        </w:rPr>
        <w:t>15</w:t>
      </w:r>
    </w:p>
    <w:p>
      <w:pPr>
        <w:shd w:val="clear"/>
        <w:spacing w:line="360" w:lineRule="auto"/>
        <w:jc w:val="center"/>
        <w:rPr>
          <w:rFonts w:hint="eastAsia" w:ascii="宋体" w:hAnsi="宋体" w:eastAsia="宋体"/>
          <w:b w:val="0"/>
          <w:bCs/>
          <w:color w:val="auto"/>
          <w:sz w:val="24"/>
          <w:szCs w:val="22"/>
          <w:highlight w:val="none"/>
          <w:lang w:val="zh-CN"/>
        </w:rPr>
      </w:pPr>
      <w:r>
        <w:rPr>
          <w:rFonts w:hint="eastAsia" w:ascii="宋体" w:hAnsi="宋体" w:eastAsia="宋体"/>
          <w:b/>
          <w:color w:val="auto"/>
          <w:sz w:val="32"/>
          <w:szCs w:val="28"/>
          <w:highlight w:val="none"/>
          <w:lang w:val="zh-CN"/>
        </w:rPr>
        <w:t xml:space="preserve">首次报价一览表 </w:t>
      </w:r>
    </w:p>
    <w:p>
      <w:pPr>
        <w:shd w:val="clear"/>
        <w:spacing w:line="360" w:lineRule="auto"/>
        <w:jc w:val="both"/>
        <w:rPr>
          <w:rFonts w:hint="eastAsia" w:ascii="宋体" w:hAnsi="宋体" w:eastAsia="宋体"/>
          <w:b w:val="0"/>
          <w:bCs/>
          <w:color w:val="auto"/>
          <w:sz w:val="24"/>
          <w:szCs w:val="22"/>
          <w:highlight w:val="none"/>
          <w:lang w:val="zh-CN"/>
        </w:rPr>
      </w:pPr>
    </w:p>
    <w:p>
      <w:pPr>
        <w:spacing w:line="360" w:lineRule="auto"/>
        <w:rPr>
          <w:rFonts w:hint="eastAsia" w:ascii="宋体" w:hAnsi="宋体" w:eastAsia="宋体" w:cs="宋体"/>
          <w:color w:val="auto"/>
          <w:sz w:val="24"/>
          <w:highlight w:val="none"/>
          <w:lang w:val="zh-CN"/>
        </w:rPr>
      </w:pPr>
      <w:bookmarkStart w:id="0" w:name="_Toc78171641"/>
      <w:r>
        <w:rPr>
          <w:rFonts w:hint="eastAsia" w:ascii="宋体" w:hAnsi="宋体" w:eastAsia="宋体" w:cs="宋体"/>
          <w:color w:val="auto"/>
          <w:sz w:val="24"/>
          <w:highlight w:val="none"/>
          <w:lang w:val="zh-CN"/>
        </w:rPr>
        <w:t>投标人名称：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32"/>
          <w:highlight w:val="none"/>
        </w:rPr>
        <w:t xml:space="preserve">项目编号： </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szCs w:val="32"/>
          <w:highlight w:val="none"/>
        </w:rPr>
        <w:t>[</w:t>
      </w:r>
      <w:r>
        <w:rPr>
          <w:rFonts w:hint="eastAsia" w:ascii="宋体" w:hAnsi="宋体" w:eastAsia="宋体" w:cs="宋体"/>
          <w:color w:val="auto"/>
          <w:kern w:val="0"/>
          <w:sz w:val="24"/>
          <w:highlight w:val="none"/>
        </w:rPr>
        <w:t>金额单位：</w:t>
      </w:r>
      <w:r>
        <w:rPr>
          <w:rFonts w:hint="eastAsia" w:ascii="宋体" w:hAnsi="宋体" w:cs="宋体"/>
          <w:color w:val="auto"/>
          <w:sz w:val="24"/>
          <w:lang w:val="en-US" w:eastAsia="zh-CN"/>
        </w:rPr>
        <w:t>元/张</w:t>
      </w:r>
      <w:r>
        <w:rPr>
          <w:rFonts w:hint="eastAsia" w:ascii="宋体" w:hAnsi="宋体" w:eastAsia="宋体" w:cs="宋体"/>
          <w:color w:val="auto"/>
          <w:sz w:val="24"/>
          <w:szCs w:val="32"/>
          <w:highlight w:val="none"/>
        </w:rPr>
        <w:t>]</w:t>
      </w:r>
    </w:p>
    <w:tbl>
      <w:tblPr>
        <w:tblStyle w:val="22"/>
        <w:tblW w:w="8672" w:type="dxa"/>
        <w:jc w:val="center"/>
        <w:tblBorders>
          <w:top w:val="single" w:color="auto" w:sz="2"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2" w:space="0"/>
            <w:left w:val="single" w:color="auto" w:sz="2" w:space="0"/>
            <w:bottom w:val="single" w:color="auto" w:sz="4" w:space="0"/>
            <w:right w:val="single" w:color="auto" w:sz="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投标报价</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元/张</w:t>
            </w:r>
            <w:r>
              <w:rPr>
                <w:rFonts w:hint="eastAsia" w:ascii="宋体" w:hAnsi="宋体" w:eastAsia="宋体" w:cs="宋体"/>
                <w:color w:val="auto"/>
                <w:sz w:val="24"/>
                <w:lang w:val="en-US" w:eastAsia="zh-CN"/>
              </w:rPr>
              <w:t>）</w:t>
            </w:r>
          </w:p>
        </w:tc>
        <w:tc>
          <w:tcPr>
            <w:tcW w:w="1349" w:type="dxa"/>
            <w:tcBorders>
              <w:tl2br w:val="nil"/>
              <w:tr2bl w:val="nil"/>
            </w:tcBorders>
            <w:vAlign w:val="center"/>
          </w:tcPr>
          <w:p>
            <w:pPr>
              <w:autoSpaceDE w:val="0"/>
              <w:autoSpaceDN w:val="0"/>
              <w:spacing w:line="450" w:lineRule="exact"/>
              <w:jc w:val="center"/>
              <w:textAlignment w:val="bottom"/>
              <w:rPr>
                <w:rFonts w:hint="eastAsia" w:ascii="宋体" w:hAnsi="宋体" w:eastAsia="宋体" w:cs="宋体"/>
                <w:color w:val="auto"/>
                <w:sz w:val="24"/>
              </w:rPr>
            </w:pPr>
            <w:r>
              <w:rPr>
                <w:rFonts w:hint="eastAsia" w:ascii="宋体" w:hAnsi="宋体" w:eastAsia="宋体" w:cs="宋体"/>
                <w:color w:val="auto"/>
                <w:sz w:val="24"/>
              </w:rPr>
              <w:t>大写</w:t>
            </w:r>
          </w:p>
        </w:tc>
        <w:tc>
          <w:tcPr>
            <w:tcW w:w="4629" w:type="dxa"/>
            <w:tcBorders>
              <w:tl2br w:val="nil"/>
              <w:tr2bl w:val="nil"/>
            </w:tcBorders>
            <w:vAlign w:val="center"/>
          </w:tcPr>
          <w:p>
            <w:pPr>
              <w:autoSpaceDE w:val="0"/>
              <w:autoSpaceDN w:val="0"/>
              <w:spacing w:line="450" w:lineRule="exact"/>
              <w:ind w:firstLine="1200" w:firstLineChars="500"/>
              <w:jc w:val="both"/>
              <w:textAlignment w:val="bottom"/>
              <w:rPr>
                <w:rFonts w:hint="eastAsia" w:ascii="宋体" w:hAnsi="宋体" w:eastAsia="宋体" w:cs="宋体"/>
                <w:b w:val="0"/>
                <w:bCs/>
                <w:color w:val="auto"/>
                <w:sz w:val="24"/>
                <w:u w:val="single"/>
                <w:lang w:val="en-US"/>
              </w:rPr>
            </w:pPr>
          </w:p>
        </w:tc>
      </w:tr>
      <w:tr>
        <w:tblPrEx>
          <w:tblBorders>
            <w:top w:val="single" w:color="auto" w:sz="2" w:space="0"/>
            <w:left w:val="single" w:color="auto" w:sz="2" w:space="0"/>
            <w:bottom w:val="single" w:color="auto" w:sz="4" w:space="0"/>
            <w:right w:val="single" w:color="auto" w:sz="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hint="eastAsia" w:ascii="宋体" w:hAnsi="宋体" w:eastAsia="宋体" w:cs="宋体"/>
                <w:color w:val="auto"/>
                <w:sz w:val="24"/>
              </w:rPr>
            </w:pPr>
          </w:p>
        </w:tc>
        <w:tc>
          <w:tcPr>
            <w:tcW w:w="1349" w:type="dxa"/>
            <w:tcBorders>
              <w:tl2br w:val="nil"/>
              <w:tr2bl w:val="nil"/>
            </w:tcBorders>
            <w:vAlign w:val="center"/>
          </w:tcPr>
          <w:p>
            <w:pPr>
              <w:autoSpaceDE w:val="0"/>
              <w:autoSpaceDN w:val="0"/>
              <w:spacing w:line="450" w:lineRule="exact"/>
              <w:jc w:val="center"/>
              <w:textAlignment w:val="bottom"/>
              <w:rPr>
                <w:rFonts w:hint="eastAsia" w:ascii="宋体" w:hAnsi="宋体" w:eastAsia="宋体" w:cs="宋体"/>
                <w:color w:val="auto"/>
                <w:sz w:val="24"/>
              </w:rPr>
            </w:pPr>
            <w:r>
              <w:rPr>
                <w:rFonts w:hint="eastAsia" w:ascii="宋体" w:hAnsi="宋体" w:eastAsia="宋体" w:cs="宋体"/>
                <w:color w:val="auto"/>
                <w:sz w:val="24"/>
              </w:rPr>
              <w:t>小写</w:t>
            </w:r>
          </w:p>
        </w:tc>
        <w:tc>
          <w:tcPr>
            <w:tcW w:w="4629" w:type="dxa"/>
            <w:tcBorders>
              <w:tl2br w:val="nil"/>
              <w:tr2bl w:val="nil"/>
            </w:tcBorders>
            <w:vAlign w:val="center"/>
          </w:tcPr>
          <w:p>
            <w:pPr>
              <w:spacing w:line="360" w:lineRule="auto"/>
              <w:jc w:val="center"/>
              <w:rPr>
                <w:rFonts w:hint="eastAsia" w:ascii="宋体" w:hAnsi="宋体" w:eastAsia="宋体" w:cs="宋体"/>
                <w:b w:val="0"/>
                <w:bCs/>
                <w:color w:val="auto"/>
                <w:sz w:val="24"/>
                <w:szCs w:val="24"/>
                <w:u w:val="single"/>
                <w:lang w:val="en-US" w:eastAsia="zh-CN"/>
              </w:rPr>
            </w:pPr>
          </w:p>
          <w:p>
            <w:pPr>
              <w:autoSpaceDE w:val="0"/>
              <w:autoSpaceDN w:val="0"/>
              <w:spacing w:line="450" w:lineRule="exact"/>
              <w:jc w:val="center"/>
              <w:textAlignment w:val="bottom"/>
              <w:rPr>
                <w:rFonts w:hint="eastAsia" w:ascii="宋体" w:hAnsi="宋体" w:eastAsia="宋体" w:cs="宋体"/>
                <w:b w:val="0"/>
                <w:bCs/>
                <w:color w:val="auto"/>
                <w:sz w:val="24"/>
              </w:rPr>
            </w:pPr>
          </w:p>
        </w:tc>
      </w:tr>
    </w:tbl>
    <w:p>
      <w:pPr>
        <w:spacing w:line="360" w:lineRule="exact"/>
        <w:ind w:left="-106" w:leftChars="-51" w:right="-107" w:rightChars="-51" w:hanging="1"/>
        <w:jc w:val="center"/>
        <w:rPr>
          <w:rFonts w:hint="eastAsia" w:ascii="宋体" w:hAnsi="宋体" w:eastAsia="宋体" w:cs="宋体"/>
          <w:b/>
          <w:bCs/>
          <w:color w:val="auto"/>
          <w:szCs w:val="21"/>
          <w:highlight w:val="none"/>
        </w:rPr>
      </w:pPr>
    </w:p>
    <w:p>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pPr>
        <w:snapToGrid w:val="0"/>
        <w:spacing w:line="420" w:lineRule="exact"/>
        <w:rPr>
          <w:rFonts w:hint="eastAsia" w:ascii="宋体" w:hAnsi="宋体" w:eastAsia="宋体" w:cs="宋体"/>
          <w:b/>
          <w:bCs/>
          <w:color w:val="auto"/>
          <w:sz w:val="24"/>
          <w:highlight w:val="none"/>
        </w:rPr>
      </w:pPr>
    </w:p>
    <w:p>
      <w:pPr>
        <w:spacing w:line="280" w:lineRule="exact"/>
        <w:ind w:firstLine="3990" w:firstLineChars="19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人（公章）：</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宋体" w:hAnsi="宋体" w:eastAsia="宋体" w:cs="宋体"/>
          <w:color w:val="auto"/>
          <w:sz w:val="24"/>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法定代表人（或负责人）或委托代理人（签字）：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  月   日</w:t>
      </w:r>
    </w:p>
    <w:p>
      <w:pPr>
        <w:shd w:val="clear"/>
        <w:spacing w:line="480" w:lineRule="auto"/>
        <w:rPr>
          <w:rFonts w:hint="eastAsia" w:ascii="宋体" w:hAnsi="宋体" w:eastAsia="宋体"/>
          <w:color w:val="auto"/>
          <w:sz w:val="24"/>
          <w:highlight w:val="none"/>
        </w:rPr>
      </w:pPr>
    </w:p>
    <w:p>
      <w:pPr>
        <w:shd w:val="clear"/>
        <w:spacing w:line="480" w:lineRule="auto"/>
        <w:rPr>
          <w:rFonts w:hint="eastAsia" w:ascii="宋体" w:hAnsi="宋体" w:eastAsia="宋体"/>
          <w:color w:val="auto"/>
          <w:sz w:val="24"/>
          <w:highlight w:val="none"/>
        </w:rPr>
      </w:pPr>
    </w:p>
    <w:p>
      <w:pPr>
        <w:shd w:val="clear"/>
        <w:spacing w:line="480" w:lineRule="auto"/>
        <w:rPr>
          <w:rFonts w:hint="eastAsia" w:ascii="宋体" w:hAnsi="宋体" w:eastAsia="宋体"/>
          <w:color w:val="auto"/>
          <w:sz w:val="24"/>
          <w:highlight w:val="none"/>
        </w:rPr>
      </w:pPr>
    </w:p>
    <w:p>
      <w:pPr>
        <w:shd w:val="clear"/>
        <w:spacing w:line="480" w:lineRule="auto"/>
        <w:rPr>
          <w:rFonts w:hint="eastAsia" w:ascii="宋体" w:hAnsi="宋体" w:eastAsia="宋体"/>
          <w:color w:val="auto"/>
          <w:sz w:val="24"/>
          <w:highlight w:val="none"/>
        </w:rPr>
      </w:pPr>
    </w:p>
    <w:p>
      <w:pPr>
        <w:shd w:val="clear"/>
        <w:spacing w:line="360" w:lineRule="auto"/>
        <w:rPr>
          <w:rFonts w:hint="default" w:ascii="宋体" w:hAnsi="宋体" w:eastAsia="宋体"/>
          <w:b/>
          <w:color w:val="auto"/>
          <w:sz w:val="28"/>
          <w:highlight w:val="none"/>
          <w:lang w:val="en-US"/>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1</w:t>
      </w:r>
      <w:r>
        <w:rPr>
          <w:rFonts w:hint="eastAsia" w:ascii="宋体" w:hAnsi="宋体"/>
          <w:b/>
          <w:color w:val="auto"/>
          <w:sz w:val="28"/>
          <w:highlight w:val="none"/>
          <w:lang w:val="en-US" w:eastAsia="zh-CN"/>
        </w:rPr>
        <w:t>6</w:t>
      </w:r>
    </w:p>
    <w:bookmarkEnd w:id="0"/>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报价明细表</w:t>
      </w:r>
    </w:p>
    <w:p>
      <w:pPr>
        <w:bidi w:val="0"/>
        <w:spacing w:line="360" w:lineRule="auto"/>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eastAsia="宋体" w:cs="宋体"/>
          <w:b w:val="0"/>
          <w:bCs w:val="0"/>
          <w:color w:val="auto"/>
          <w:sz w:val="24"/>
          <w:szCs w:val="32"/>
          <w:highlight w:val="none"/>
          <w:lang w:val="en-US" w:eastAsia="zh-CN"/>
        </w:rPr>
        <w:t xml:space="preserve">                                       [单位：元/张]</w:t>
      </w:r>
    </w:p>
    <w:tbl>
      <w:tblPr>
        <w:tblStyle w:val="22"/>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2"/>
        <w:gridCol w:w="1525"/>
        <w:gridCol w:w="1525"/>
        <w:gridCol w:w="901"/>
        <w:gridCol w:w="854"/>
        <w:gridCol w:w="122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1562"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名称</w:t>
            </w: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品牌/型号</w:t>
            </w: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规格/参数</w:t>
            </w:r>
          </w:p>
        </w:tc>
        <w:tc>
          <w:tcPr>
            <w:tcW w:w="901"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数量</w:t>
            </w:r>
          </w:p>
        </w:tc>
        <w:tc>
          <w:tcPr>
            <w:tcW w:w="854"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单位</w:t>
            </w:r>
          </w:p>
        </w:tc>
        <w:tc>
          <w:tcPr>
            <w:tcW w:w="122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w:t>
            </w:r>
          </w:p>
        </w:tc>
        <w:tc>
          <w:tcPr>
            <w:tcW w:w="1263"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both"/>
              <w:rPr>
                <w:rFonts w:hint="default" w:ascii="宋体" w:hAnsi="宋体" w:eastAsia="宋体" w:cs="宋体"/>
                <w:b/>
                <w:color w:val="auto"/>
                <w:sz w:val="24"/>
                <w:szCs w:val="24"/>
                <w:highlight w:val="none"/>
                <w:lang w:val="en-US" w:eastAsia="zh-CN"/>
              </w:rPr>
            </w:pPr>
            <w:r>
              <w:rPr>
                <w:rFonts w:hint="eastAsia" w:ascii="宋体" w:cs="宋体"/>
                <w:b/>
                <w:color w:val="auto"/>
                <w:sz w:val="24"/>
                <w:szCs w:val="24"/>
                <w:highlight w:val="none"/>
                <w:lang w:val="en-US" w:eastAsia="zh-CN"/>
              </w:rPr>
              <w:t>1</w:t>
            </w:r>
          </w:p>
        </w:tc>
        <w:tc>
          <w:tcPr>
            <w:tcW w:w="1562"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901"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854"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2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63"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both"/>
              <w:rPr>
                <w:rFonts w:hint="default" w:ascii="宋体" w:cs="宋体"/>
                <w:b/>
                <w:color w:val="auto"/>
                <w:sz w:val="24"/>
                <w:szCs w:val="24"/>
                <w:highlight w:val="none"/>
                <w:lang w:val="en-US" w:eastAsia="zh-CN"/>
              </w:rPr>
            </w:pPr>
            <w:r>
              <w:rPr>
                <w:rFonts w:hint="eastAsia" w:ascii="宋体" w:cs="宋体"/>
                <w:b/>
                <w:color w:val="auto"/>
                <w:sz w:val="24"/>
                <w:szCs w:val="24"/>
                <w:highlight w:val="none"/>
                <w:lang w:val="en-US" w:eastAsia="zh-CN"/>
              </w:rPr>
              <w:t>2</w:t>
            </w:r>
          </w:p>
        </w:tc>
        <w:tc>
          <w:tcPr>
            <w:tcW w:w="1562"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901"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854"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2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63"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both"/>
              <w:rPr>
                <w:rFonts w:hint="default" w:ascii="宋体" w:cs="宋体"/>
                <w:b/>
                <w:color w:val="auto"/>
                <w:sz w:val="24"/>
                <w:szCs w:val="24"/>
                <w:highlight w:val="none"/>
                <w:lang w:val="en-US" w:eastAsia="zh-CN"/>
              </w:rPr>
            </w:pPr>
            <w:r>
              <w:rPr>
                <w:rFonts w:hint="eastAsia" w:ascii="宋体" w:cs="宋体"/>
                <w:b/>
                <w:color w:val="auto"/>
                <w:sz w:val="24"/>
                <w:szCs w:val="24"/>
                <w:highlight w:val="none"/>
                <w:lang w:val="en-US" w:eastAsia="zh-CN"/>
              </w:rPr>
              <w:t>……</w:t>
            </w:r>
          </w:p>
        </w:tc>
        <w:tc>
          <w:tcPr>
            <w:tcW w:w="1562"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525"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901"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854"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20"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c>
          <w:tcPr>
            <w:tcW w:w="1263" w:type="dxa"/>
            <w:noWrap w:val="0"/>
            <w:vAlign w:val="center"/>
          </w:tcPr>
          <w:p>
            <w:pPr>
              <w:pStyle w:val="50"/>
              <w:keepNext w:val="0"/>
              <w:keepLines w:val="0"/>
              <w:pageBreakBefore w:val="0"/>
              <w:shd w:val="clear" w:color="auto" w:fill="auto"/>
              <w:kinsoku/>
              <w:wordWrap/>
              <w:overflowPunct w:val="0"/>
              <w:topLinePunct w:val="0"/>
              <w:autoSpaceDE/>
              <w:autoSpaceDN/>
              <w:bidi w:val="0"/>
              <w:adjustRightInd/>
              <w:snapToGrid w:val="0"/>
              <w:jc w:val="center"/>
              <w:rPr>
                <w:rFonts w:hint="eastAsia" w:ascii="宋体" w:hAnsi="宋体" w:eastAsia="宋体" w:cs="宋体"/>
                <w:b/>
                <w:color w:val="auto"/>
                <w:sz w:val="24"/>
                <w:szCs w:val="24"/>
                <w:highlight w:val="none"/>
                <w:lang w:val="en-US" w:eastAsia="zh-CN"/>
              </w:rPr>
            </w:pPr>
          </w:p>
        </w:tc>
      </w:tr>
    </w:tbl>
    <w:p>
      <w:pPr>
        <w:rPr>
          <w:rFonts w:hint="eastAsia" w:ascii="宋体" w:hAnsi="宋体" w:eastAsia="宋体" w:cs="宋体"/>
          <w:color w:val="FF0000"/>
          <w:lang w:val="en-US" w:eastAsia="zh-CN"/>
        </w:rPr>
      </w:pPr>
    </w:p>
    <w:p>
      <w:pP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人（公章）：</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宋体" w:hAnsi="宋体" w:eastAsia="宋体" w:cs="宋体"/>
          <w:color w:val="auto"/>
          <w:sz w:val="24"/>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法定代表人（或负责人）或委托代理人（签字）：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  月   日</w:t>
      </w:r>
    </w:p>
    <w:p>
      <w:pPr>
        <w:spacing w:line="360" w:lineRule="auto"/>
        <w:rPr>
          <w:rFonts w:hint="eastAsia" w:ascii="宋体" w:hAnsi="宋体" w:eastAsia="宋体" w:cs="宋体"/>
          <w:color w:val="auto"/>
          <w:sz w:val="24"/>
          <w:highlight w:val="none"/>
          <w:lang w:val="zh-CN"/>
        </w:rPr>
      </w:pPr>
    </w:p>
    <w:p>
      <w:pPr>
        <w:shd w:val="clear"/>
        <w:spacing w:line="480" w:lineRule="auto"/>
        <w:rPr>
          <w:color w:val="auto"/>
          <w:highlight w:val="none"/>
        </w:rPr>
      </w:pPr>
    </w:p>
    <w:sectPr>
      <w:headerReference r:id="rId3" w:type="default"/>
      <w:pgSz w:w="11906" w:h="16838"/>
      <w:pgMar w:top="1440" w:right="19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源淏窪极潠极2.">
    <w:altName w:val="Microsoft JhengHei"/>
    <w:panose1 w:val="00000000000000000000"/>
    <w:charset w:val="88"/>
    <w:family w:val="swiss"/>
    <w:pitch w:val="default"/>
    <w:sig w:usb0="00000000" w:usb1="00000000" w:usb2="00000010" w:usb3="00000000" w:csb0="00100000"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left"/>
      <w:rPr>
        <w:b/>
        <w:color w:val="808080"/>
        <w:sz w:val="10"/>
        <w:u w:val="single"/>
      </w:rPr>
    </w:pPr>
    <w:r>
      <w:rPr>
        <w:rFonts w:hint="eastAsia"/>
        <w:b/>
        <w:i/>
        <w:color w:val="808080"/>
        <w:kern w:val="0"/>
        <w:sz w:val="18"/>
        <w:u w:val="single"/>
        <w:lang w:eastAsia="zh-CN"/>
      </w:rPr>
      <w:t>台州市立医院竞争性</w:t>
    </w:r>
    <w:r>
      <w:rPr>
        <w:rFonts w:hint="eastAsia"/>
        <w:b/>
        <w:i/>
        <w:color w:val="808080"/>
        <w:kern w:val="0"/>
        <w:sz w:val="18"/>
        <w:u w:val="single"/>
      </w:rPr>
      <w:t>谈判采购文件</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r>
      <w:rPr>
        <w:rFonts w:hint="eastAsia"/>
        <w:b/>
        <w:i/>
        <w:color w:val="808080"/>
        <w:spacing w:val="-20"/>
        <w:kern w:val="0"/>
        <w:sz w:val="18"/>
        <w:u w:val="single"/>
      </w:rPr>
      <w:t>第</w:t>
    </w:r>
    <w:r>
      <w:rPr>
        <w:rFonts w:hint="eastAsia"/>
        <w:b/>
        <w:i/>
        <w:color w:val="808080"/>
        <w:spacing w:val="-20"/>
        <w:kern w:val="0"/>
        <w:sz w:val="18"/>
        <w:u w:val="single"/>
        <w:lang w:val="en-US" w:eastAsia="zh-CN"/>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13</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49</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Dg4NTUyNjQ0YWMzZmIxZTY5Y2Y4YzJiM2MwNDIifQ=="/>
    <w:docVar w:name="KSO_WPS_MARK_KEY" w:val="75b6894b-cf68-4f98-a8a9-7ecd04c474d3"/>
  </w:docVars>
  <w:rsids>
    <w:rsidRoot w:val="00000000"/>
    <w:rsid w:val="01FB0577"/>
    <w:rsid w:val="0925770E"/>
    <w:rsid w:val="09773B45"/>
    <w:rsid w:val="0F292DE5"/>
    <w:rsid w:val="245B5882"/>
    <w:rsid w:val="24784B20"/>
    <w:rsid w:val="25F660D7"/>
    <w:rsid w:val="26083E76"/>
    <w:rsid w:val="29890093"/>
    <w:rsid w:val="2AC43E84"/>
    <w:rsid w:val="331D76E7"/>
    <w:rsid w:val="3A810912"/>
    <w:rsid w:val="3AD8661C"/>
    <w:rsid w:val="3D1002D0"/>
    <w:rsid w:val="3E1A6173"/>
    <w:rsid w:val="441726BE"/>
    <w:rsid w:val="458319E2"/>
    <w:rsid w:val="45895E99"/>
    <w:rsid w:val="4C5F566A"/>
    <w:rsid w:val="4FD1311D"/>
    <w:rsid w:val="5181771E"/>
    <w:rsid w:val="52493D5C"/>
    <w:rsid w:val="567952A7"/>
    <w:rsid w:val="5E1B261B"/>
    <w:rsid w:val="628B3911"/>
    <w:rsid w:val="642E6B65"/>
    <w:rsid w:val="648F5856"/>
    <w:rsid w:val="68534DEC"/>
    <w:rsid w:val="6E5E0B46"/>
    <w:rsid w:val="6ED3418F"/>
    <w:rsid w:val="70ED23E3"/>
    <w:rsid w:val="71623D8A"/>
    <w:rsid w:val="72435ED2"/>
    <w:rsid w:val="75D64E39"/>
    <w:rsid w:val="7D9B3066"/>
    <w:rsid w:val="7F052E8D"/>
    <w:rsid w:val="7FD03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widowControl w:val="0"/>
      <w:tabs>
        <w:tab w:val="left" w:pos="720"/>
        <w:tab w:val="left" w:pos="1260"/>
        <w:tab w:val="left" w:pos="2160"/>
        <w:tab w:val="left" w:pos="2880"/>
        <w:tab w:val="left" w:pos="3600"/>
        <w:tab w:val="left" w:pos="4320"/>
        <w:tab w:val="left" w:pos="5040"/>
        <w:tab w:val="left" w:pos="5760"/>
      </w:tabs>
      <w:autoSpaceDE/>
      <w:autoSpaceDN/>
      <w:snapToGrid/>
      <w:spacing w:after="120" w:line="240" w:lineRule="auto"/>
      <w:ind w:left="420" w:leftChars="200" w:firstLine="420"/>
      <w:textAlignment w:val="auto"/>
    </w:pPr>
    <w:rPr>
      <w:kern w:val="2"/>
      <w:sz w:val="21"/>
      <w:szCs w:val="24"/>
    </w:rPr>
  </w:style>
  <w:style w:type="paragraph" w:styleId="3">
    <w:name w:val="Body Text Indent"/>
    <w:basedOn w:val="1"/>
    <w:next w:val="4"/>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4">
    <w:name w:val="Normal Indent"/>
    <w:basedOn w:val="1"/>
    <w:next w:val="3"/>
    <w:qFormat/>
    <w:uiPriority w:val="0"/>
    <w:pPr>
      <w:ind w:firstLine="420"/>
    </w:pPr>
    <w:rPr>
      <w:szCs w:val="20"/>
    </w:rPr>
  </w:style>
  <w:style w:type="paragraph" w:customStyle="1" w:styleId="5">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99"/>
    <w:pPr>
      <w:ind w:firstLine="420"/>
    </w:pPr>
    <w:rPr>
      <w:rFonts w:ascii="Times New Roman"/>
      <w:sz w:val="21"/>
    </w:rPr>
  </w:style>
  <w:style w:type="paragraph" w:styleId="13">
    <w:name w:val="Plain Text"/>
    <w:basedOn w:val="1"/>
    <w:next w:val="1"/>
    <w:link w:val="36"/>
    <w:qFormat/>
    <w:uiPriority w:val="99"/>
    <w:rPr>
      <w:rFonts w:ascii="宋体" w:hAnsi="Courier New" w:cstheme="minorBidi"/>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39"/>
    <w:pPr>
      <w:widowControl/>
      <w:ind w:left="1000"/>
      <w:jc w:val="left"/>
    </w:pPr>
    <w:rPr>
      <w:kern w:val="0"/>
      <w:sz w:val="18"/>
      <w:szCs w:val="20"/>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qFormat/>
    <w:uiPriority w:val="0"/>
    <w:rPr>
      <w:color w:val="0000FF"/>
      <w:u w:val="single"/>
    </w:rPr>
  </w:style>
  <w:style w:type="paragraph" w:customStyle="1" w:styleId="27">
    <w:name w:val="Default"/>
    <w:qFormat/>
    <w:uiPriority w:val="0"/>
    <w:pPr>
      <w:widowControl w:val="0"/>
      <w:autoSpaceDE w:val="0"/>
      <w:autoSpaceDN w:val="0"/>
      <w:adjustRightInd w:val="0"/>
      <w:spacing w:line="360" w:lineRule="auto"/>
      <w:jc w:val="both"/>
    </w:pPr>
    <w:rPr>
      <w:rFonts w:ascii="源淏窪极潠极2." w:hAnsi="Times New Roman" w:eastAsia="源淏窪极潠极2." w:cs="源淏窪极潠极2."/>
      <w:color w:val="000000"/>
      <w:sz w:val="24"/>
      <w:szCs w:val="24"/>
      <w:lang w:val="en-US" w:eastAsia="zh-CN" w:bidi="ar-SA"/>
    </w:rPr>
  </w:style>
  <w:style w:type="paragraph" w:customStyle="1" w:styleId="28">
    <w:name w:val="List Paragraph"/>
    <w:basedOn w:val="1"/>
    <w:autoRedefine/>
    <w:qFormat/>
    <w:uiPriority w:val="34"/>
    <w:pPr>
      <w:ind w:firstLine="420" w:firstLineChars="200"/>
    </w:pPr>
    <w:rPr>
      <w:rFonts w:ascii="Calibri" w:hAnsi="Calibri"/>
      <w:szCs w:val="22"/>
    </w:rPr>
  </w:style>
  <w:style w:type="paragraph" w:customStyle="1" w:styleId="2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14"/>
    <w:qFormat/>
    <w:uiPriority w:val="0"/>
    <w:rPr>
      <w:rFonts w:ascii="Times New Roman" w:hAnsi="Times New Roman" w:eastAsia="宋体" w:cs="Times New Roman"/>
      <w:sz w:val="21"/>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纯文本 Char"/>
    <w:basedOn w:val="23"/>
    <w:link w:val="13"/>
    <w:qFormat/>
    <w:uiPriority w:val="99"/>
    <w:rPr>
      <w:rFonts w:ascii="宋体" w:hAnsi="Courier New" w:eastAsia="宋体"/>
      <w:kern w:val="2"/>
      <w:sz w:val="21"/>
      <w:szCs w:val="24"/>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3"/>
    <w:basedOn w:val="35"/>
    <w:qFormat/>
    <w:uiPriority w:val="0"/>
    <w:pPr>
      <w:widowControl/>
      <w:jc w:val="left"/>
    </w:pPr>
    <w:rPr>
      <w:rFonts w:ascii="宋体" w:hAnsi="Courier New" w:eastAsiaTheme="minorEastAsia" w:cstheme="minorBidi"/>
      <w:szCs w:val="21"/>
    </w:rPr>
  </w:style>
  <w:style w:type="paragraph" w:customStyle="1" w:styleId="43">
    <w:name w:val="Plain Text"/>
    <w:basedOn w:val="1"/>
    <w:qFormat/>
    <w:uiPriority w:val="0"/>
    <w:pPr>
      <w:adjustRightInd w:val="0"/>
    </w:pPr>
    <w:rPr>
      <w:rFonts w:ascii="宋体" w:hAnsi="Courier New" w:eastAsia="楷体_GB2312"/>
      <w:sz w:val="28"/>
    </w:rPr>
  </w:style>
  <w:style w:type="character" w:customStyle="1" w:styleId="44">
    <w:name w:val="font01"/>
    <w:basedOn w:val="23"/>
    <w:qFormat/>
    <w:uiPriority w:val="0"/>
    <w:rPr>
      <w:rFonts w:ascii="Arial" w:hAnsi="Arial" w:cs="Arial"/>
      <w:color w:val="000000"/>
      <w:sz w:val="24"/>
      <w:szCs w:val="24"/>
      <w:u w:val="none"/>
    </w:rPr>
  </w:style>
  <w:style w:type="character" w:customStyle="1" w:styleId="45">
    <w:name w:val="font31"/>
    <w:basedOn w:val="23"/>
    <w:qFormat/>
    <w:uiPriority w:val="0"/>
    <w:rPr>
      <w:rFonts w:hint="default" w:ascii="仿宋_GB2312" w:eastAsia="仿宋_GB2312" w:cs="仿宋_GB2312"/>
      <w:color w:val="000000"/>
      <w:sz w:val="24"/>
      <w:szCs w:val="24"/>
      <w:u w:val="none"/>
    </w:rPr>
  </w:style>
  <w:style w:type="character" w:customStyle="1" w:styleId="46">
    <w:name w:val="NormalCharacter"/>
    <w:semiHidden/>
    <w:qFormat/>
    <w:uiPriority w:val="0"/>
    <w:rPr>
      <w:kern w:val="2"/>
      <w:sz w:val="21"/>
      <w:szCs w:val="24"/>
      <w:lang w:val="en-US" w:eastAsia="zh-CN" w:bidi="ar-SA"/>
    </w:rPr>
  </w:style>
  <w:style w:type="paragraph" w:customStyle="1" w:styleId="47">
    <w:name w:val="表格文字"/>
    <w:basedOn w:val="1"/>
    <w:next w:val="11"/>
    <w:autoRedefine/>
    <w:qFormat/>
    <w:uiPriority w:val="0"/>
    <w:pPr>
      <w:spacing w:line="420" w:lineRule="atLeast"/>
      <w:jc w:val="left"/>
    </w:pPr>
    <w:rPr>
      <w:szCs w:val="20"/>
    </w:rPr>
  </w:style>
  <w:style w:type="character" w:customStyle="1" w:styleId="48">
    <w:name w:val="font61"/>
    <w:basedOn w:val="23"/>
    <w:qFormat/>
    <w:uiPriority w:val="0"/>
    <w:rPr>
      <w:rFonts w:hint="eastAsia" w:ascii="宋体" w:hAnsi="宋体" w:eastAsia="宋体" w:cs="宋体"/>
      <w:color w:val="000000"/>
      <w:sz w:val="20"/>
      <w:szCs w:val="20"/>
      <w:u w:val="none"/>
    </w:rPr>
  </w:style>
  <w:style w:type="paragraph" w:customStyle="1" w:styleId="49">
    <w:name w:val="[Normal]"/>
    <w:qFormat/>
    <w:uiPriority w:val="0"/>
    <w:pPr>
      <w:spacing w:line="360" w:lineRule="auto"/>
      <w:ind w:firstLine="200" w:firstLineChars="200"/>
      <w:jc w:val="both"/>
    </w:pPr>
    <w:rPr>
      <w:rFonts w:ascii="宋体" w:hAnsi="宋体" w:eastAsia="宋体" w:cs="Times New Roman"/>
      <w:sz w:val="24"/>
      <w:szCs w:val="22"/>
      <w:lang w:val="zh-CN" w:eastAsia="zh-CN" w:bidi="ar-SA"/>
    </w:rPr>
  </w:style>
  <w:style w:type="paragraph" w:customStyle="1" w:styleId="50">
    <w:name w:val="无缩进正文"/>
    <w:basedOn w:val="1"/>
    <w:autoRedefine/>
    <w:qFormat/>
    <w:uiPriority w:val="0"/>
    <w:pPr>
      <w:widowControl/>
      <w:spacing w:line="360" w:lineRule="auto"/>
      <w:jc w:val="left"/>
    </w:pPr>
    <w:rPr>
      <w:rFonts w:ascii="Arial" w:hAnsi="宋体" w:eastAsia="宋体" w:cs="Arial"/>
      <w:sz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12456</Words>
  <Characters>12709</Characters>
  <Lines>168</Lines>
  <Paragraphs>47</Paragraphs>
  <TotalTime>33</TotalTime>
  <ScaleCrop>false</ScaleCrop>
  <LinksUpToDate>false</LinksUpToDate>
  <CharactersWithSpaces>13906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2018-04-18T14:19:00Z</dcterms:created>
  <dc:creator>S-mile</dc:creator>
  <cp:lastModifiedBy>枫红</cp:lastModifiedBy>
  <dcterms:modified xsi:type="dcterms:W3CDTF">2024-02-01T06:04:24Z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666B6F8211EE4B869D51917EFA893960_13</vt:lpwstr>
  </property>
</Properties>
</file>